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82" w:firstLineChars="150"/>
        <w:jc w:val="center"/>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附件一：</w:t>
      </w:r>
      <w:r>
        <w:rPr>
          <w:rFonts w:hint="eastAsia" w:ascii="宋体" w:hAnsi="宋体" w:eastAsia="宋体" w:cs="宋体"/>
          <w:b/>
          <w:sz w:val="32"/>
          <w:szCs w:val="32"/>
        </w:rPr>
        <w:t>评标细则</w:t>
      </w:r>
    </w:p>
    <w:p>
      <w:pPr>
        <w:snapToGrid w:val="0"/>
        <w:spacing w:line="360" w:lineRule="exact"/>
        <w:ind w:firstLine="422" w:firstLineChars="200"/>
        <w:rPr>
          <w:rFonts w:ascii="宋体"/>
          <w:b/>
          <w:color w:val="auto"/>
          <w:szCs w:val="21"/>
        </w:rPr>
      </w:pPr>
      <w:r>
        <w:rPr>
          <w:rFonts w:hint="eastAsia" w:ascii="宋体"/>
          <w:b/>
          <w:color w:val="auto"/>
          <w:szCs w:val="21"/>
        </w:rPr>
        <w:t>本着公平、公正、公开的原则，对各投标人投标文件</w:t>
      </w:r>
      <w:r>
        <w:rPr>
          <w:rFonts w:hint="eastAsia" w:ascii="宋体"/>
          <w:b/>
          <w:color w:val="auto"/>
          <w:szCs w:val="21"/>
          <w:highlight w:val="none"/>
        </w:rPr>
        <w:t>中的商务标、技术标等方面</w:t>
      </w:r>
      <w:r>
        <w:rPr>
          <w:rFonts w:hint="eastAsia" w:ascii="宋体"/>
          <w:b/>
          <w:color w:val="auto"/>
          <w:szCs w:val="21"/>
        </w:rPr>
        <w:t xml:space="preserve">进行综合评分。具体办法如下：（共计100分） </w:t>
      </w:r>
    </w:p>
    <w:p>
      <w:pPr>
        <w:spacing w:line="360" w:lineRule="exact"/>
        <w:ind w:firstLine="422" w:firstLineChars="200"/>
        <w:rPr>
          <w:rFonts w:ascii="宋体" w:hAnsi="宋体"/>
          <w:b/>
          <w:bCs/>
          <w:color w:val="auto"/>
          <w:szCs w:val="21"/>
        </w:rPr>
      </w:pPr>
      <w:r>
        <w:rPr>
          <w:rFonts w:hint="eastAsia" w:ascii="宋体" w:hAnsi="宋体"/>
          <w:b/>
          <w:bCs/>
          <w:color w:val="auto"/>
          <w:szCs w:val="21"/>
        </w:rPr>
        <w:t>一、确定有效投标报价</w:t>
      </w:r>
    </w:p>
    <w:p>
      <w:pPr>
        <w:spacing w:line="360" w:lineRule="exact"/>
        <w:ind w:firstLine="420" w:firstLineChars="200"/>
        <w:rPr>
          <w:rFonts w:ascii="宋体" w:hAnsi="宋体"/>
          <w:color w:val="auto"/>
          <w:szCs w:val="21"/>
        </w:rPr>
      </w:pPr>
      <w:r>
        <w:rPr>
          <w:rFonts w:hint="eastAsia" w:ascii="宋体" w:hAnsi="宋体"/>
          <w:color w:val="auto"/>
          <w:szCs w:val="21"/>
        </w:rPr>
        <w:t>凡符合招标公告、招标文件、招标答疑纪要等有关招标实质性要求并且在</w:t>
      </w:r>
      <w:r>
        <w:rPr>
          <w:rFonts w:hint="eastAsia" w:ascii="宋体" w:hAnsi="宋体"/>
          <w:color w:val="auto"/>
          <w:szCs w:val="21"/>
          <w:lang w:eastAsia="zh-CN"/>
        </w:rPr>
        <w:t>控制价</w:t>
      </w:r>
      <w:r>
        <w:rPr>
          <w:rFonts w:hint="eastAsia" w:ascii="宋体" w:hAnsi="宋体"/>
          <w:color w:val="auto"/>
          <w:szCs w:val="21"/>
        </w:rPr>
        <w:t>以下</w:t>
      </w:r>
      <w:r>
        <w:rPr>
          <w:rFonts w:hint="eastAsia" w:asciiTheme="minorEastAsia" w:hAnsiTheme="minorEastAsia" w:eastAsiaTheme="minorEastAsia" w:cstheme="minorEastAsia"/>
          <w:b/>
          <w:bCs/>
          <w:color w:val="auto"/>
          <w:sz w:val="21"/>
          <w:szCs w:val="21"/>
          <w:highlight w:val="none"/>
        </w:rPr>
        <w:t>（同时投标报价各项清单单价不高于控制价清单单价）</w:t>
      </w:r>
      <w:r>
        <w:rPr>
          <w:rFonts w:hint="eastAsia" w:ascii="宋体" w:hAnsi="宋体"/>
          <w:color w:val="auto"/>
          <w:szCs w:val="21"/>
        </w:rPr>
        <w:t>的投标报价均为有效投标报价。未能实质性响应上述有关招标要求的投标文件为无效投标文件。</w:t>
      </w:r>
    </w:p>
    <w:p>
      <w:pPr>
        <w:spacing w:line="360" w:lineRule="exact"/>
        <w:ind w:firstLine="422" w:firstLineChars="200"/>
        <w:rPr>
          <w:rFonts w:hint="eastAsia" w:ascii="宋体" w:hAnsi="宋体"/>
          <w:b/>
          <w:bCs/>
          <w:color w:val="auto"/>
          <w:szCs w:val="21"/>
        </w:rPr>
      </w:pPr>
      <w:r>
        <w:rPr>
          <w:rFonts w:hint="eastAsia" w:ascii="宋体" w:hAnsi="宋体"/>
          <w:b/>
          <w:bCs/>
          <w:color w:val="auto"/>
          <w:szCs w:val="21"/>
          <w:lang w:val="en-US" w:eastAsia="zh-CN"/>
        </w:rPr>
        <w:t>二</w:t>
      </w:r>
      <w:r>
        <w:rPr>
          <w:rFonts w:hint="eastAsia" w:ascii="宋体" w:hAnsi="宋体"/>
          <w:b/>
          <w:bCs/>
          <w:color w:val="auto"/>
          <w:szCs w:val="21"/>
        </w:rPr>
        <w:t>、评审细则</w:t>
      </w:r>
    </w:p>
    <w:p>
      <w:pPr>
        <w:snapToGrid w:val="0"/>
        <w:spacing w:line="360" w:lineRule="exact"/>
        <w:ind w:firstLine="422" w:firstLineChars="200"/>
        <w:rPr>
          <w:rFonts w:hint="eastAsia" w:ascii="宋体" w:eastAsia="宋体"/>
          <w:b/>
          <w:color w:val="auto"/>
          <w:szCs w:val="21"/>
          <w:lang w:val="en-US" w:eastAsia="zh-CN"/>
        </w:rPr>
      </w:pPr>
      <w:r>
        <w:rPr>
          <w:rFonts w:hint="eastAsia" w:ascii="宋体"/>
          <w:b/>
          <w:color w:val="auto"/>
          <w:szCs w:val="21"/>
        </w:rPr>
        <w:t>（一）投标报价：</w:t>
      </w:r>
      <w:r>
        <w:rPr>
          <w:rFonts w:hint="eastAsia" w:ascii="宋体"/>
          <w:b/>
          <w:color w:val="auto"/>
          <w:szCs w:val="21"/>
          <w:lang w:val="en-US" w:eastAsia="zh-CN"/>
        </w:rPr>
        <w:t>89</w:t>
      </w:r>
      <w:r>
        <w:rPr>
          <w:rFonts w:hint="eastAsia" w:ascii="宋体"/>
          <w:b/>
          <w:color w:val="auto"/>
          <w:szCs w:val="21"/>
        </w:rPr>
        <w:t>分</w:t>
      </w:r>
    </w:p>
    <w:p>
      <w:pPr>
        <w:spacing w:line="360" w:lineRule="exact"/>
        <w:ind w:firstLine="420" w:firstLineChars="200"/>
        <w:rPr>
          <w:rFonts w:ascii="宋体" w:hAnsi="宋体"/>
          <w:color w:val="auto"/>
          <w:szCs w:val="21"/>
        </w:rPr>
      </w:pPr>
      <w:r>
        <w:rPr>
          <w:rFonts w:hint="eastAsia" w:ascii="宋体" w:hAnsi="宋体"/>
          <w:color w:val="auto"/>
          <w:szCs w:val="21"/>
        </w:rPr>
        <w:t>第一步：确定评标基准价</w:t>
      </w:r>
    </w:p>
    <w:p>
      <w:pPr>
        <w:spacing w:line="360" w:lineRule="exact"/>
        <w:ind w:firstLine="420" w:firstLineChars="200"/>
        <w:rPr>
          <w:rFonts w:ascii="宋体" w:hAnsi="宋体"/>
          <w:color w:val="auto"/>
          <w:szCs w:val="21"/>
        </w:rPr>
      </w:pPr>
      <w:r>
        <w:rPr>
          <w:rFonts w:hint="eastAsia" w:ascii="宋体" w:hAnsi="宋体"/>
          <w:color w:val="auto"/>
          <w:szCs w:val="21"/>
        </w:rPr>
        <w:t>1.以有效投标文件的评标价算术平均值为A（当有效投标文件≥7家时，去掉最高和最低20%（四舍五入取整）后进行平均；当有效投标文件4-6家时，剔除最高报价（最高报价相同的均剔除）后进行算术平均；当有效投标文件＜4家时，则次低报价作为投标平均价A），招标控制价为B，则：</w:t>
      </w:r>
    </w:p>
    <w:p>
      <w:pPr>
        <w:spacing w:line="360" w:lineRule="exact"/>
        <w:ind w:firstLine="420" w:firstLineChars="200"/>
        <w:rPr>
          <w:rFonts w:ascii="宋体" w:hAnsi="宋体"/>
          <w:color w:val="auto"/>
          <w:szCs w:val="21"/>
        </w:rPr>
      </w:pPr>
      <w:r>
        <w:rPr>
          <w:rFonts w:hint="eastAsia" w:ascii="宋体" w:hAnsi="宋体"/>
          <w:color w:val="auto"/>
          <w:szCs w:val="21"/>
        </w:rPr>
        <w:t>评标基准价C＝A×K1×Q1+B×K2×Q2</w:t>
      </w:r>
    </w:p>
    <w:p>
      <w:pPr>
        <w:spacing w:line="360" w:lineRule="exact"/>
        <w:ind w:firstLine="420" w:firstLineChars="200"/>
        <w:rPr>
          <w:rFonts w:ascii="宋体" w:hAnsi="宋体"/>
          <w:color w:val="auto"/>
          <w:szCs w:val="21"/>
        </w:rPr>
      </w:pPr>
      <w:r>
        <w:rPr>
          <w:rFonts w:hint="eastAsia" w:ascii="宋体" w:hAnsi="宋体"/>
          <w:color w:val="auto"/>
          <w:szCs w:val="21"/>
        </w:rPr>
        <w:t>Q2=1-Q1，Q1取值范围为65%</w:t>
      </w:r>
      <w:r>
        <w:rPr>
          <w:rFonts w:hint="eastAsia" w:ascii="宋体" w:hAnsi="宋体"/>
          <w:color w:val="auto"/>
          <w:szCs w:val="21"/>
          <w:lang w:eastAsia="zh-CN"/>
        </w:rPr>
        <w:t>、</w:t>
      </w:r>
      <w:r>
        <w:rPr>
          <w:rFonts w:hint="eastAsia" w:ascii="宋体" w:hAnsi="宋体"/>
          <w:color w:val="auto"/>
          <w:szCs w:val="21"/>
        </w:rPr>
        <w:t>70%</w:t>
      </w:r>
      <w:r>
        <w:rPr>
          <w:rFonts w:hint="eastAsia" w:ascii="宋体" w:hAnsi="宋体"/>
          <w:color w:val="auto"/>
          <w:szCs w:val="21"/>
          <w:lang w:eastAsia="zh-CN"/>
        </w:rPr>
        <w:t>、</w:t>
      </w:r>
      <w:r>
        <w:rPr>
          <w:rFonts w:hint="eastAsia" w:ascii="宋体" w:hAnsi="宋体"/>
          <w:color w:val="auto"/>
          <w:szCs w:val="21"/>
        </w:rPr>
        <w:t>75%</w:t>
      </w:r>
      <w:r>
        <w:rPr>
          <w:rFonts w:hint="eastAsia" w:ascii="宋体" w:hAnsi="宋体"/>
          <w:color w:val="auto"/>
          <w:szCs w:val="21"/>
          <w:lang w:eastAsia="zh-CN"/>
        </w:rPr>
        <w:t>、</w:t>
      </w:r>
      <w:r>
        <w:rPr>
          <w:rFonts w:hint="eastAsia" w:ascii="宋体" w:hAnsi="宋体"/>
          <w:color w:val="auto"/>
          <w:szCs w:val="21"/>
        </w:rPr>
        <w:t>80%</w:t>
      </w:r>
      <w:r>
        <w:rPr>
          <w:rFonts w:hint="eastAsia" w:ascii="宋体" w:hAnsi="宋体"/>
          <w:color w:val="auto"/>
          <w:szCs w:val="21"/>
          <w:lang w:eastAsia="zh-CN"/>
        </w:rPr>
        <w:t>、</w:t>
      </w:r>
      <w:r>
        <w:rPr>
          <w:rFonts w:hint="eastAsia" w:ascii="宋体" w:hAnsi="宋体"/>
          <w:color w:val="auto"/>
          <w:szCs w:val="21"/>
        </w:rPr>
        <w:t>85%；</w:t>
      </w:r>
    </w:p>
    <w:p>
      <w:pPr>
        <w:spacing w:line="360" w:lineRule="exact"/>
        <w:ind w:firstLine="420" w:firstLineChars="200"/>
        <w:rPr>
          <w:rFonts w:ascii="宋体" w:hAnsi="宋体"/>
          <w:color w:val="auto"/>
          <w:szCs w:val="21"/>
        </w:rPr>
      </w:pPr>
      <w:r>
        <w:rPr>
          <w:rFonts w:hint="eastAsia" w:ascii="宋体" w:hAnsi="宋体"/>
          <w:color w:val="auto"/>
          <w:szCs w:val="21"/>
        </w:rPr>
        <w:t>K1取值范围为95%、96%、97%、98%；</w:t>
      </w:r>
    </w:p>
    <w:p>
      <w:pPr>
        <w:spacing w:line="360" w:lineRule="exact"/>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K2取值范围为96%、97%、98%、99%、100%</w:t>
      </w:r>
      <w:r>
        <w:rPr>
          <w:rFonts w:hint="eastAsia" w:ascii="宋体" w:hAnsi="宋体"/>
          <w:color w:val="auto"/>
          <w:szCs w:val="21"/>
          <w:highlight w:val="none"/>
          <w:lang w:eastAsia="zh-CN"/>
        </w:rPr>
        <w:t>；</w:t>
      </w:r>
    </w:p>
    <w:p>
      <w:pPr>
        <w:spacing w:line="360" w:lineRule="exact"/>
        <w:ind w:firstLine="420" w:firstLineChars="200"/>
        <w:rPr>
          <w:rFonts w:ascii="宋体" w:hAnsi="宋体"/>
          <w:color w:val="auto"/>
          <w:szCs w:val="21"/>
        </w:rPr>
      </w:pPr>
      <w:r>
        <w:rPr>
          <w:rFonts w:hint="eastAsia" w:ascii="宋体" w:hAnsi="宋体"/>
          <w:color w:val="auto"/>
          <w:szCs w:val="21"/>
        </w:rPr>
        <w:t>2.评标委员会在评标报告上签字后，评标基准价不因招投标当事人质疑、投诉、复议以及其它任何情形而改变，但评标过程中的计算错误可作调整。</w:t>
      </w:r>
    </w:p>
    <w:p>
      <w:pPr>
        <w:spacing w:line="360" w:lineRule="exact"/>
        <w:ind w:firstLine="420" w:firstLineChars="200"/>
        <w:rPr>
          <w:rFonts w:ascii="宋体" w:hAnsi="宋体"/>
          <w:color w:val="auto"/>
          <w:szCs w:val="21"/>
        </w:rPr>
      </w:pPr>
      <w:r>
        <w:rPr>
          <w:rFonts w:hint="eastAsia" w:ascii="宋体" w:hAnsi="宋体"/>
          <w:color w:val="auto"/>
          <w:szCs w:val="21"/>
        </w:rPr>
        <w:t>第二步：以经评审的评标基准价得最高分，并以此为基准，确定其他投标人的价格得分。评标价与评标基准价比对，每偏离1%，减扣一定的分值（0.5、0.6、0.7分），偏离不足1%的，按插入法计算得分。评分计算过程中的偏离率和分值计算结果均保留两位小数，第三位四舍五入。</w:t>
      </w:r>
    </w:p>
    <w:p>
      <w:pPr>
        <w:spacing w:line="360" w:lineRule="exact"/>
        <w:ind w:firstLine="422" w:firstLineChars="200"/>
        <w:rPr>
          <w:rFonts w:ascii="宋体" w:hAnsi="宋体"/>
          <w:b/>
          <w:bCs/>
          <w:color w:val="auto"/>
          <w:szCs w:val="21"/>
          <w:highlight w:val="none"/>
        </w:rPr>
      </w:pPr>
      <w:r>
        <w:rPr>
          <w:rFonts w:hint="eastAsia" w:ascii="宋体" w:hAnsi="宋体"/>
          <w:b/>
          <w:bCs/>
          <w:color w:val="auto"/>
          <w:szCs w:val="21"/>
        </w:rPr>
        <w:t>注：1.Q1、K1、K2、偏离扣分值在</w:t>
      </w:r>
      <w:r>
        <w:rPr>
          <w:rFonts w:hint="eastAsia" w:ascii="宋体" w:hAnsi="宋体"/>
          <w:b/>
          <w:bCs/>
          <w:color w:val="auto"/>
          <w:szCs w:val="21"/>
          <w:highlight w:val="none"/>
        </w:rPr>
        <w:t>开标时由</w:t>
      </w:r>
      <w:r>
        <w:rPr>
          <w:rFonts w:hint="eastAsia" w:ascii="宋体" w:hAnsi="宋体"/>
          <w:b/>
          <w:bCs/>
          <w:color w:val="auto"/>
          <w:szCs w:val="21"/>
          <w:highlight w:val="none"/>
          <w:lang w:eastAsia="zh-CN"/>
        </w:rPr>
        <w:t>投标</w:t>
      </w:r>
      <w:r>
        <w:rPr>
          <w:rFonts w:hint="eastAsia" w:ascii="宋体" w:hAnsi="宋体"/>
          <w:b/>
          <w:bCs/>
          <w:color w:val="auto"/>
          <w:szCs w:val="21"/>
          <w:highlight w:val="none"/>
        </w:rPr>
        <w:t>人代表随机抽取确定。</w:t>
      </w:r>
    </w:p>
    <w:p>
      <w:pPr>
        <w:spacing w:line="360" w:lineRule="exact"/>
        <w:ind w:firstLine="843" w:firstLineChars="400"/>
        <w:rPr>
          <w:rFonts w:ascii="宋体" w:hAnsi="宋体"/>
          <w:b/>
          <w:bCs/>
          <w:color w:val="auto"/>
          <w:szCs w:val="21"/>
        </w:rPr>
      </w:pPr>
      <w:r>
        <w:rPr>
          <w:rFonts w:hint="eastAsia" w:ascii="宋体" w:hAnsi="宋体"/>
          <w:b/>
          <w:bCs/>
          <w:color w:val="auto"/>
          <w:szCs w:val="21"/>
          <w:highlight w:val="none"/>
        </w:rPr>
        <w:t>2.偏离扣分值仅抽取一次，正负偏离扣分值相同。</w:t>
      </w:r>
    </w:p>
    <w:p>
      <w:pPr>
        <w:spacing w:line="360" w:lineRule="exact"/>
        <w:ind w:firstLine="420"/>
        <w:rPr>
          <w:rFonts w:asciiTheme="minorEastAsia" w:hAnsiTheme="minorEastAsia" w:eastAsiaTheme="minorEastAsia" w:cstheme="minorEastAsia"/>
          <w:b/>
          <w:bCs/>
          <w:color w:val="auto"/>
          <w:kern w:val="0"/>
          <w:szCs w:val="21"/>
        </w:rPr>
      </w:pPr>
      <w:r>
        <w:rPr>
          <w:rFonts w:hint="eastAsia" w:asciiTheme="minorEastAsia" w:hAnsiTheme="minorEastAsia" w:eastAsiaTheme="minorEastAsia" w:cstheme="minorEastAsia"/>
          <w:b/>
          <w:bCs/>
          <w:color w:val="auto"/>
          <w:kern w:val="0"/>
          <w:szCs w:val="21"/>
        </w:rPr>
        <w:t>（二）技术标：10分</w:t>
      </w:r>
    </w:p>
    <w:p>
      <w:pPr>
        <w:spacing w:line="360" w:lineRule="exact"/>
        <w:ind w:firstLine="420"/>
        <w:rPr>
          <w:rFonts w:hint="eastAsia" w:asciiTheme="minorEastAsia" w:hAnsiTheme="minorEastAsia" w:eastAsiaTheme="minorEastAsia" w:cstheme="minorEastAsia"/>
          <w:bCs/>
          <w:color w:val="auto"/>
          <w:kern w:val="0"/>
          <w:szCs w:val="21"/>
        </w:rPr>
      </w:pPr>
      <w:r>
        <w:rPr>
          <w:rFonts w:hint="eastAsia" w:asciiTheme="minorEastAsia" w:hAnsiTheme="minorEastAsia" w:eastAsiaTheme="minorEastAsia" w:cstheme="minorEastAsia"/>
          <w:bCs/>
          <w:color w:val="auto"/>
          <w:kern w:val="0"/>
          <w:szCs w:val="21"/>
        </w:rPr>
        <w:t>1.根据投标人提供的总体概述，包括工程概况、施工组织总体设想、方案的针对性及施工段的划分等的科学性、合理性、规范性，由评委进行综合评审，本项最高得2分。</w:t>
      </w:r>
    </w:p>
    <w:p>
      <w:pPr>
        <w:spacing w:line="360" w:lineRule="exact"/>
        <w:ind w:firstLine="420"/>
        <w:rPr>
          <w:rFonts w:hint="eastAsia" w:asciiTheme="minorEastAsia" w:hAnsiTheme="minorEastAsia" w:eastAsiaTheme="minorEastAsia" w:cstheme="minorEastAsia"/>
          <w:bCs/>
          <w:color w:val="auto"/>
          <w:kern w:val="0"/>
          <w:szCs w:val="21"/>
        </w:rPr>
      </w:pPr>
      <w:r>
        <w:rPr>
          <w:rFonts w:hint="eastAsia" w:asciiTheme="minorEastAsia" w:hAnsiTheme="minorEastAsia" w:eastAsiaTheme="minorEastAsia" w:cstheme="minorEastAsia"/>
          <w:bCs/>
          <w:color w:val="auto"/>
          <w:kern w:val="0"/>
          <w:szCs w:val="21"/>
          <w:lang w:val="en-US" w:eastAsia="zh-CN"/>
        </w:rPr>
        <w:t>2</w:t>
      </w:r>
      <w:r>
        <w:rPr>
          <w:rFonts w:hint="eastAsia" w:asciiTheme="minorEastAsia" w:hAnsiTheme="minorEastAsia" w:eastAsiaTheme="minorEastAsia" w:cstheme="minorEastAsia"/>
          <w:bCs/>
          <w:color w:val="auto"/>
          <w:kern w:val="0"/>
          <w:szCs w:val="21"/>
        </w:rPr>
        <w:t>.根据投标人提供的施工进度计划网络图和各阶段的进度计划表以及进度保证措施的科学性、合理性、规范性，由评委进行综合评审，本项最高得2分。</w:t>
      </w:r>
    </w:p>
    <w:p>
      <w:pPr>
        <w:spacing w:line="360" w:lineRule="exact"/>
        <w:ind w:firstLine="420"/>
        <w:rPr>
          <w:rFonts w:hint="eastAsia" w:asciiTheme="minorEastAsia" w:hAnsiTheme="minorEastAsia" w:eastAsiaTheme="minorEastAsia" w:cstheme="minorEastAsia"/>
          <w:bCs/>
          <w:color w:val="auto"/>
          <w:kern w:val="0"/>
          <w:szCs w:val="21"/>
        </w:rPr>
      </w:pPr>
      <w:r>
        <w:rPr>
          <w:rFonts w:hint="eastAsia" w:asciiTheme="minorEastAsia" w:hAnsiTheme="minorEastAsia" w:eastAsiaTheme="minorEastAsia" w:cstheme="minorEastAsia"/>
          <w:bCs/>
          <w:color w:val="auto"/>
          <w:kern w:val="0"/>
          <w:szCs w:val="21"/>
          <w:lang w:val="en-US" w:eastAsia="zh-CN"/>
        </w:rPr>
        <w:t>3</w:t>
      </w:r>
      <w:r>
        <w:rPr>
          <w:rFonts w:hint="eastAsia" w:asciiTheme="minorEastAsia" w:hAnsiTheme="minorEastAsia" w:eastAsiaTheme="minorEastAsia" w:cstheme="minorEastAsia"/>
          <w:bCs/>
          <w:color w:val="auto"/>
          <w:kern w:val="0"/>
          <w:szCs w:val="21"/>
        </w:rPr>
        <w:t>.根据投标人提供的各分部分项工程的完整施工方案及完成工程质量创优目标的保证措施（含质保体系、技术保证、材料保证等）的科学性、合理性、规范性，由评委进行综合评审，本项最高得1分。</w:t>
      </w:r>
    </w:p>
    <w:p>
      <w:pPr>
        <w:spacing w:line="360" w:lineRule="exact"/>
        <w:ind w:firstLine="420"/>
        <w:rPr>
          <w:rFonts w:hint="eastAsia" w:asciiTheme="minorEastAsia" w:hAnsiTheme="minorEastAsia" w:eastAsiaTheme="minorEastAsia" w:cstheme="minorEastAsia"/>
          <w:bCs/>
          <w:color w:val="auto"/>
          <w:kern w:val="0"/>
          <w:szCs w:val="21"/>
        </w:rPr>
      </w:pPr>
      <w:r>
        <w:rPr>
          <w:rFonts w:hint="eastAsia" w:asciiTheme="minorEastAsia" w:hAnsiTheme="minorEastAsia" w:eastAsiaTheme="minorEastAsia" w:cstheme="minorEastAsia"/>
          <w:bCs/>
          <w:color w:val="auto"/>
          <w:kern w:val="0"/>
          <w:szCs w:val="21"/>
          <w:lang w:val="en-US" w:eastAsia="zh-CN"/>
        </w:rPr>
        <w:t>4</w:t>
      </w:r>
      <w:r>
        <w:rPr>
          <w:rFonts w:hint="eastAsia" w:asciiTheme="minorEastAsia" w:hAnsiTheme="minorEastAsia" w:eastAsiaTheme="minorEastAsia" w:cstheme="minorEastAsia"/>
          <w:bCs/>
          <w:color w:val="auto"/>
          <w:kern w:val="0"/>
          <w:szCs w:val="21"/>
        </w:rPr>
        <w:t>.根据投标人提供的施工现场平面布置图，包括临时设施的布置，施工机械、材料、周转材料、加工场地、各类仓库的布置摆放、临时线路的布置等的科学性、合理性、规范性，由评委进行综合评审，本项最高得1分。</w:t>
      </w:r>
    </w:p>
    <w:p>
      <w:pPr>
        <w:spacing w:line="360" w:lineRule="exact"/>
        <w:ind w:firstLine="420"/>
        <w:rPr>
          <w:rFonts w:hint="eastAsia" w:asciiTheme="minorEastAsia" w:hAnsiTheme="minorEastAsia" w:eastAsiaTheme="minorEastAsia" w:cstheme="minorEastAsia"/>
          <w:bCs/>
          <w:color w:val="auto"/>
          <w:kern w:val="0"/>
          <w:szCs w:val="21"/>
        </w:rPr>
      </w:pPr>
      <w:r>
        <w:rPr>
          <w:rFonts w:hint="eastAsia" w:asciiTheme="minorEastAsia" w:hAnsiTheme="minorEastAsia" w:eastAsiaTheme="minorEastAsia" w:cstheme="minorEastAsia"/>
          <w:bCs/>
          <w:color w:val="auto"/>
          <w:kern w:val="0"/>
          <w:szCs w:val="21"/>
        </w:rPr>
        <w:t>5.根据投标人提供的安全施工、文明施工、环境保护、消防和疫情防控措施的科学性、合理性、规范性，由评委进行综合评审，本项最高得1分。</w:t>
      </w:r>
    </w:p>
    <w:p>
      <w:pPr>
        <w:spacing w:line="360" w:lineRule="exact"/>
        <w:ind w:firstLine="420"/>
        <w:rPr>
          <w:rFonts w:hint="eastAsia" w:asciiTheme="minorEastAsia" w:hAnsiTheme="minorEastAsia" w:eastAsiaTheme="minorEastAsia" w:cstheme="minorEastAsia"/>
          <w:bCs/>
          <w:color w:val="auto"/>
          <w:kern w:val="0"/>
          <w:szCs w:val="21"/>
        </w:rPr>
      </w:pPr>
      <w:r>
        <w:rPr>
          <w:rFonts w:hint="eastAsia" w:asciiTheme="minorEastAsia" w:hAnsiTheme="minorEastAsia" w:eastAsiaTheme="minorEastAsia" w:cstheme="minorEastAsia"/>
          <w:bCs/>
          <w:color w:val="auto"/>
          <w:kern w:val="0"/>
          <w:szCs w:val="21"/>
        </w:rPr>
        <w:t>6.根据投标人提供的劳动力、施工机械设备及材料的投入计划和进退场计划的科学性、合理性、规范性，由评委进行综合评审，本项最高得1分。</w:t>
      </w:r>
    </w:p>
    <w:p>
      <w:pPr>
        <w:spacing w:line="360" w:lineRule="exact"/>
        <w:ind w:firstLine="420"/>
        <w:rPr>
          <w:rFonts w:hint="eastAsia" w:asciiTheme="minorEastAsia" w:hAnsiTheme="minorEastAsia" w:eastAsiaTheme="minorEastAsia" w:cstheme="minorEastAsia"/>
          <w:bCs/>
          <w:color w:val="auto"/>
          <w:kern w:val="0"/>
          <w:szCs w:val="21"/>
        </w:rPr>
      </w:pPr>
      <w:r>
        <w:rPr>
          <w:rFonts w:hint="eastAsia" w:asciiTheme="minorEastAsia" w:hAnsiTheme="minorEastAsia" w:eastAsiaTheme="minorEastAsia" w:cstheme="minorEastAsia"/>
          <w:bCs/>
          <w:color w:val="auto"/>
          <w:kern w:val="0"/>
          <w:szCs w:val="21"/>
        </w:rPr>
        <w:t>7.根据投标人提供的关键施工技术、工艺及工程项目实施的重点、难点和解决方案的科学性、合理性、规范性，由评委进行综合评审，本项最高得1分。</w:t>
      </w:r>
    </w:p>
    <w:p>
      <w:pPr>
        <w:spacing w:line="360" w:lineRule="exact"/>
        <w:ind w:firstLine="420"/>
        <w:rPr>
          <w:rFonts w:asciiTheme="minorEastAsia" w:hAnsiTheme="minorEastAsia" w:eastAsiaTheme="minorEastAsia" w:cstheme="minorEastAsia"/>
          <w:bCs/>
          <w:color w:val="auto"/>
          <w:kern w:val="0"/>
          <w:szCs w:val="21"/>
        </w:rPr>
      </w:pPr>
      <w:r>
        <w:rPr>
          <w:rFonts w:hint="eastAsia" w:asciiTheme="minorEastAsia" w:hAnsiTheme="minorEastAsia" w:eastAsiaTheme="minorEastAsia" w:cstheme="minorEastAsia"/>
          <w:bCs/>
          <w:color w:val="auto"/>
          <w:kern w:val="0"/>
          <w:szCs w:val="21"/>
        </w:rPr>
        <w:t>8.据投标人提供的针对本工程提出的关于提高工程质量、降低工程造价等方面的合理化建议的科学性、合理性、规范性，由评委进行综合评审，本项最高得1分。</w:t>
      </w:r>
    </w:p>
    <w:p>
      <w:pPr>
        <w:spacing w:line="360" w:lineRule="exact"/>
        <w:ind w:firstLine="420"/>
        <w:rPr>
          <w:rFonts w:asciiTheme="minorEastAsia" w:hAnsiTheme="minorEastAsia" w:eastAsiaTheme="minorEastAsia" w:cstheme="minorEastAsia"/>
          <w:b/>
          <w:bCs/>
          <w:color w:val="auto"/>
          <w:kern w:val="0"/>
          <w:szCs w:val="21"/>
        </w:rPr>
      </w:pPr>
      <w:r>
        <w:rPr>
          <w:rFonts w:hint="eastAsia" w:asciiTheme="minorEastAsia" w:hAnsiTheme="minorEastAsia" w:eastAsiaTheme="minorEastAsia" w:cstheme="minorEastAsia"/>
          <w:b/>
          <w:bCs/>
          <w:color w:val="auto"/>
          <w:kern w:val="0"/>
          <w:szCs w:val="21"/>
        </w:rPr>
        <w:t>（三）业绩</w:t>
      </w:r>
      <w:r>
        <w:rPr>
          <w:rFonts w:asciiTheme="minorEastAsia" w:hAnsiTheme="minorEastAsia" w:eastAsiaTheme="minorEastAsia" w:cstheme="minorEastAsia"/>
          <w:b/>
          <w:bCs/>
          <w:color w:val="auto"/>
          <w:kern w:val="0"/>
          <w:szCs w:val="21"/>
        </w:rPr>
        <w:t>：</w:t>
      </w:r>
      <w:r>
        <w:rPr>
          <w:rFonts w:hint="eastAsia" w:asciiTheme="minorEastAsia" w:hAnsiTheme="minorEastAsia" w:eastAsiaTheme="minorEastAsia" w:cstheme="minorEastAsia"/>
          <w:b/>
          <w:bCs/>
          <w:color w:val="auto"/>
          <w:kern w:val="0"/>
          <w:szCs w:val="21"/>
          <w:lang w:val="en-US" w:eastAsia="zh-CN"/>
        </w:rPr>
        <w:t>1</w:t>
      </w:r>
      <w:r>
        <w:rPr>
          <w:rFonts w:hint="eastAsia" w:asciiTheme="minorEastAsia" w:hAnsiTheme="minorEastAsia" w:eastAsiaTheme="minorEastAsia" w:cstheme="minorEastAsia"/>
          <w:b/>
          <w:bCs/>
          <w:color w:val="auto"/>
          <w:kern w:val="0"/>
          <w:szCs w:val="21"/>
        </w:rPr>
        <w:t>分</w:t>
      </w:r>
    </w:p>
    <w:p>
      <w:pPr>
        <w:spacing w:line="360" w:lineRule="exact"/>
        <w:ind w:firstLine="420"/>
        <w:rPr>
          <w:rFonts w:hint="eastAsia"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投标人201</w:t>
      </w:r>
      <w:r>
        <w:rPr>
          <w:rFonts w:hint="eastAsia" w:asciiTheme="minorEastAsia" w:hAnsiTheme="minorEastAsia" w:eastAsiaTheme="minorEastAsia" w:cstheme="minorEastAsia"/>
          <w:color w:val="auto"/>
          <w:kern w:val="0"/>
          <w:szCs w:val="21"/>
          <w:lang w:val="en-US" w:eastAsia="zh-CN"/>
        </w:rPr>
        <w:t>8</w:t>
      </w:r>
      <w:r>
        <w:rPr>
          <w:rFonts w:hint="eastAsia" w:asciiTheme="minorEastAsia" w:hAnsiTheme="minorEastAsia" w:eastAsiaTheme="minorEastAsia" w:cstheme="minorEastAsia"/>
          <w:color w:val="auto"/>
          <w:kern w:val="0"/>
          <w:szCs w:val="21"/>
        </w:rPr>
        <w:t>年1月1日以来（以合同签订时间为准）</w:t>
      </w:r>
      <w:r>
        <w:rPr>
          <w:rFonts w:hint="eastAsia" w:asciiTheme="minorEastAsia" w:hAnsiTheme="minorEastAsia" w:eastAsiaTheme="minorEastAsia" w:cstheme="minorEastAsia"/>
          <w:color w:val="auto"/>
          <w:kern w:val="0"/>
          <w:szCs w:val="21"/>
          <w:lang w:eastAsia="zh-CN"/>
        </w:rPr>
        <w:t>完成</w:t>
      </w:r>
      <w:r>
        <w:rPr>
          <w:rFonts w:hint="eastAsia" w:asciiTheme="minorEastAsia" w:hAnsiTheme="minorEastAsia" w:eastAsiaTheme="minorEastAsia" w:cstheme="minorEastAsia"/>
          <w:color w:val="auto"/>
          <w:kern w:val="0"/>
          <w:szCs w:val="21"/>
        </w:rPr>
        <w:t>的单项合同金额</w:t>
      </w:r>
      <w:r>
        <w:rPr>
          <w:rFonts w:asciiTheme="minorEastAsia" w:hAnsiTheme="minorEastAsia" w:eastAsiaTheme="minorEastAsia" w:cstheme="minorEastAsia"/>
          <w:color w:val="auto"/>
          <w:kern w:val="0"/>
          <w:szCs w:val="21"/>
        </w:rPr>
        <w:t>不低于本项目招标控制价</w:t>
      </w:r>
      <w:r>
        <w:rPr>
          <w:rFonts w:hint="eastAsia" w:asciiTheme="minorEastAsia" w:hAnsiTheme="minorEastAsia" w:eastAsiaTheme="minorEastAsia" w:cstheme="minorEastAsia"/>
          <w:color w:val="auto"/>
          <w:kern w:val="0"/>
          <w:szCs w:val="21"/>
        </w:rPr>
        <w:t>80%的类似</w:t>
      </w:r>
      <w:r>
        <w:rPr>
          <w:rFonts w:asciiTheme="minorEastAsia" w:hAnsiTheme="minorEastAsia" w:eastAsiaTheme="minorEastAsia" w:cstheme="minorEastAsia"/>
          <w:color w:val="auto"/>
          <w:kern w:val="0"/>
          <w:szCs w:val="21"/>
        </w:rPr>
        <w:t>工程业绩</w:t>
      </w:r>
      <w:r>
        <w:rPr>
          <w:rFonts w:hint="eastAsia" w:asciiTheme="minorEastAsia" w:hAnsiTheme="minorEastAsia" w:eastAsiaTheme="minorEastAsia" w:cstheme="minorEastAsia"/>
          <w:color w:val="auto"/>
          <w:kern w:val="0"/>
          <w:szCs w:val="21"/>
        </w:rPr>
        <w:t>，每有一个得0.5分，本项最高得</w:t>
      </w:r>
      <w:r>
        <w:rPr>
          <w:rFonts w:hint="eastAsia" w:asciiTheme="minorEastAsia" w:hAnsiTheme="minorEastAsia" w:eastAsiaTheme="minorEastAsia" w:cstheme="minorEastAsia"/>
          <w:color w:val="auto"/>
          <w:kern w:val="0"/>
          <w:szCs w:val="21"/>
          <w:lang w:val="en-US" w:eastAsia="zh-CN"/>
        </w:rPr>
        <w:t>1</w:t>
      </w:r>
      <w:r>
        <w:rPr>
          <w:rFonts w:hint="eastAsia" w:asciiTheme="minorEastAsia" w:hAnsiTheme="minorEastAsia" w:eastAsiaTheme="minorEastAsia" w:cstheme="minorEastAsia"/>
          <w:color w:val="auto"/>
          <w:kern w:val="0"/>
          <w:szCs w:val="21"/>
        </w:rPr>
        <w:t>分。</w:t>
      </w:r>
    </w:p>
    <w:p>
      <w:pPr>
        <w:spacing w:line="360" w:lineRule="exact"/>
        <w:ind w:firstLine="420"/>
        <w:rPr>
          <w:rFonts w:hint="eastAsia" w:asciiTheme="minorEastAsia" w:hAnsiTheme="minorEastAsia" w:eastAsiaTheme="minorEastAsia" w:cstheme="minorEastAsia"/>
          <w:b/>
          <w:bCs/>
          <w:color w:val="auto"/>
          <w:kern w:val="0"/>
          <w:szCs w:val="21"/>
          <w:lang w:eastAsia="zh-CN"/>
        </w:rPr>
      </w:pPr>
      <w:r>
        <w:rPr>
          <w:rFonts w:hint="eastAsia" w:asciiTheme="minorEastAsia" w:hAnsiTheme="minorEastAsia" w:eastAsiaTheme="minorEastAsia" w:cstheme="minorEastAsia"/>
          <w:b/>
          <w:bCs/>
          <w:color w:val="auto"/>
          <w:kern w:val="0"/>
          <w:szCs w:val="21"/>
          <w:lang w:eastAsia="zh-CN"/>
        </w:rPr>
        <w:t>注：</w:t>
      </w:r>
      <w:r>
        <w:rPr>
          <w:rFonts w:hint="eastAsia" w:asciiTheme="minorEastAsia" w:hAnsiTheme="minorEastAsia" w:eastAsiaTheme="minorEastAsia" w:cstheme="minorEastAsia"/>
          <w:b/>
          <w:bCs/>
          <w:color w:val="auto"/>
          <w:kern w:val="0"/>
          <w:szCs w:val="21"/>
        </w:rPr>
        <w:t>投标文件中提供中标通知书、合同、竣工验收证明复印件</w:t>
      </w:r>
      <w:r>
        <w:rPr>
          <w:rFonts w:hint="eastAsia" w:asciiTheme="minorEastAsia" w:hAnsiTheme="minorEastAsia" w:eastAsiaTheme="minorEastAsia" w:cstheme="minorEastAsia"/>
          <w:b/>
          <w:bCs/>
          <w:color w:val="auto"/>
          <w:kern w:val="0"/>
          <w:szCs w:val="21"/>
          <w:lang w:val="en-US" w:eastAsia="zh-CN"/>
        </w:rPr>
        <w:t>并加盖投标人公章</w:t>
      </w:r>
      <w:r>
        <w:rPr>
          <w:rFonts w:hint="eastAsia" w:asciiTheme="minorEastAsia" w:hAnsiTheme="minorEastAsia" w:eastAsiaTheme="minorEastAsia" w:cstheme="minorEastAsia"/>
          <w:b/>
          <w:bCs/>
          <w:color w:val="auto"/>
          <w:kern w:val="0"/>
          <w:szCs w:val="21"/>
        </w:rPr>
        <w:t>，开标时提供原件或公证件核查，否则不得分</w:t>
      </w:r>
      <w:r>
        <w:rPr>
          <w:rFonts w:hint="eastAsia" w:asciiTheme="minorEastAsia" w:hAnsiTheme="minorEastAsia" w:eastAsiaTheme="minorEastAsia" w:cstheme="minorEastAsia"/>
          <w:b/>
          <w:bCs/>
          <w:color w:val="auto"/>
          <w:kern w:val="0"/>
          <w:szCs w:val="21"/>
          <w:lang w:eastAsia="zh-CN"/>
        </w:rPr>
        <w:t>。</w:t>
      </w:r>
    </w:p>
    <w:p>
      <w:pPr>
        <w:keepNext w:val="0"/>
        <w:keepLines w:val="0"/>
        <w:pageBreakBefore w:val="0"/>
        <w:widowControl w:val="0"/>
        <w:kinsoku/>
        <w:wordWrap/>
        <w:overflowPunct/>
        <w:topLinePunct w:val="0"/>
        <w:autoSpaceDE/>
        <w:autoSpaceDN/>
        <w:bidi w:val="0"/>
        <w:adjustRightInd/>
        <w:snapToGrid w:val="0"/>
        <w:spacing w:line="360" w:lineRule="exact"/>
        <w:ind w:firstLine="442" w:firstLineChars="200"/>
        <w:textAlignment w:val="auto"/>
        <w:rPr>
          <w:rFonts w:ascii="宋体"/>
          <w:b/>
          <w:color w:val="auto"/>
          <w:szCs w:val="21"/>
        </w:rPr>
      </w:pPr>
      <w:r>
        <w:rPr>
          <w:rFonts w:hint="eastAsia" w:ascii="宋体" w:hAnsi="宋体"/>
          <w:b/>
          <w:bCs/>
          <w:color w:val="auto"/>
          <w:sz w:val="22"/>
          <w:lang w:val="en-US" w:eastAsia="zh-CN"/>
        </w:rPr>
        <w:t>三</w:t>
      </w:r>
      <w:r>
        <w:rPr>
          <w:rFonts w:hint="eastAsia" w:ascii="宋体" w:hAnsi="宋体"/>
          <w:b/>
          <w:bCs/>
          <w:color w:val="auto"/>
          <w:sz w:val="22"/>
        </w:rPr>
        <w:t>、</w:t>
      </w:r>
      <w:r>
        <w:rPr>
          <w:rFonts w:hint="eastAsia" w:ascii="宋体"/>
          <w:b/>
          <w:color w:val="auto"/>
          <w:szCs w:val="21"/>
        </w:rPr>
        <w:t xml:space="preserve">定标办法 </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color w:val="auto"/>
          <w:szCs w:val="21"/>
        </w:rPr>
      </w:pPr>
      <w:r>
        <w:rPr>
          <w:rFonts w:hint="eastAsia" w:ascii="宋体"/>
          <w:color w:val="auto"/>
          <w:szCs w:val="21"/>
        </w:rPr>
        <w:t>上述各项得分相加即为投标人评标总分，评标总分最高者为第一中标候选人，其次为第二中标候选人。若得分相同，则以价格低的为中标单位。若得分相同且价格相同，则以抽签确定中标单位。</w:t>
      </w:r>
      <w:r>
        <w:rPr>
          <w:rFonts w:hint="eastAsia" w:ascii="宋体" w:hAnsi="宋体"/>
          <w:color w:val="auto"/>
          <w:szCs w:val="21"/>
        </w:rPr>
        <w:t>确定中标单位的抽签方式：按照签到顺序先抽顺序签，然后按顺序签抽取“有”“无”签，抽到“有”签的即为中标单位。</w:t>
      </w:r>
    </w:p>
    <w:p>
      <w:pPr>
        <w:keepNext w:val="0"/>
        <w:keepLines w:val="0"/>
        <w:pageBreakBefore w:val="0"/>
        <w:widowControl w:val="0"/>
        <w:tabs>
          <w:tab w:val="left" w:pos="5940"/>
        </w:tabs>
        <w:kinsoku/>
        <w:wordWrap/>
        <w:overflowPunct/>
        <w:topLinePunct w:val="0"/>
        <w:autoSpaceDE/>
        <w:autoSpaceDN/>
        <w:bidi w:val="0"/>
        <w:adjustRightInd/>
        <w:snapToGrid w:val="0"/>
        <w:spacing w:line="360" w:lineRule="exact"/>
        <w:ind w:firstLine="420" w:firstLineChars="200"/>
        <w:jc w:val="left"/>
        <w:textAlignment w:val="auto"/>
        <w:rPr>
          <w:rFonts w:ascii="宋体" w:hAnsi="宋体"/>
          <w:bCs/>
          <w:color w:val="auto"/>
          <w:szCs w:val="21"/>
        </w:rPr>
      </w:pPr>
      <w:r>
        <w:rPr>
          <w:rFonts w:hint="eastAsia" w:ascii="宋体" w:hAnsi="宋体"/>
          <w:bCs/>
          <w:color w:val="auto"/>
          <w:szCs w:val="21"/>
        </w:rPr>
        <w:t>注：</w:t>
      </w:r>
    </w:p>
    <w:p>
      <w:pPr>
        <w:keepNext w:val="0"/>
        <w:keepLines w:val="0"/>
        <w:pageBreakBefore w:val="0"/>
        <w:widowControl w:val="0"/>
        <w:tabs>
          <w:tab w:val="left" w:pos="5940"/>
        </w:tabs>
        <w:kinsoku/>
        <w:wordWrap/>
        <w:overflowPunct/>
        <w:topLinePunct w:val="0"/>
        <w:autoSpaceDE/>
        <w:autoSpaceDN/>
        <w:bidi w:val="0"/>
        <w:adjustRightInd/>
        <w:snapToGrid w:val="0"/>
        <w:spacing w:line="360" w:lineRule="exact"/>
        <w:ind w:firstLine="420" w:firstLineChars="200"/>
        <w:jc w:val="left"/>
        <w:textAlignment w:val="auto"/>
        <w:rPr>
          <w:rFonts w:ascii="宋体" w:hAnsi="宋体"/>
          <w:bCs/>
          <w:color w:val="auto"/>
          <w:szCs w:val="21"/>
        </w:rPr>
      </w:pPr>
      <w:r>
        <w:rPr>
          <w:rFonts w:hint="eastAsia" w:ascii="宋体" w:hAnsi="宋体"/>
          <w:bCs/>
          <w:color w:val="auto"/>
          <w:szCs w:val="21"/>
        </w:rPr>
        <w:t>1.评分细则中要求提供的证明文件及资料等在投标文件中提供复印件并加盖投标人公章，否则不予得分。要求“原件核查”的须在投标截止前将相关原件或公证件随同投标文件一并提交以供评标委员会核查，过时不予接收。</w:t>
      </w:r>
    </w:p>
    <w:p>
      <w:pPr>
        <w:keepNext w:val="0"/>
        <w:keepLines w:val="0"/>
        <w:pageBreakBefore w:val="0"/>
        <w:widowControl w:val="0"/>
        <w:tabs>
          <w:tab w:val="left" w:pos="5940"/>
        </w:tabs>
        <w:kinsoku/>
        <w:wordWrap/>
        <w:overflowPunct/>
        <w:topLinePunct w:val="0"/>
        <w:autoSpaceDE/>
        <w:autoSpaceDN/>
        <w:bidi w:val="0"/>
        <w:adjustRightInd/>
        <w:snapToGrid w:val="0"/>
        <w:spacing w:line="360" w:lineRule="exact"/>
        <w:ind w:firstLine="420" w:firstLineChars="200"/>
        <w:jc w:val="left"/>
        <w:textAlignment w:val="auto"/>
        <w:rPr>
          <w:rFonts w:ascii="宋体" w:hAnsi="宋体"/>
          <w:bCs/>
          <w:color w:val="auto"/>
          <w:szCs w:val="21"/>
        </w:rPr>
      </w:pPr>
      <w:r>
        <w:rPr>
          <w:rFonts w:hint="eastAsia" w:ascii="宋体" w:hAnsi="宋体"/>
          <w:bCs/>
          <w:color w:val="auto"/>
          <w:szCs w:val="21"/>
        </w:rPr>
        <w:t>2.评标时，未能按以上要求提供相应证明（复印件和原件、公证件）的，不作为评标依据，不得分。</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bCs/>
          <w:color w:val="auto"/>
          <w:szCs w:val="21"/>
        </w:rPr>
      </w:pPr>
      <w:r>
        <w:rPr>
          <w:rFonts w:hint="eastAsia" w:ascii="宋体" w:hAnsi="宋体"/>
          <w:bCs/>
          <w:color w:val="auto"/>
          <w:sz w:val="21"/>
          <w:szCs w:val="21"/>
        </w:rPr>
        <w:t>3.为便于评分，请投标人按评分表样式，逐条列出证明材料所在页码，格式自定</w:t>
      </w:r>
      <w:r>
        <w:rPr>
          <w:rFonts w:hint="eastAsia" w:ascii="宋体" w:hAnsi="宋体"/>
          <w:bCs/>
          <w:color w:val="auto"/>
          <w:szCs w:val="21"/>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B93559"/>
    <w:rsid w:val="65B93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widowControl w:val="0"/>
      <w:spacing w:after="12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2021-06-24T09:39:00Z</dcterms:created>
  <dc:creator>嵇玲</dc:creator>
  <cp:lastModifiedBy>嵇玲</cp:lastModifiedBy>
  <dcterms:modified xsi:type="dcterms:W3CDTF">2021-06-24T09:40:02Z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