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adjustRightInd w:val="0"/>
        <w:snapToGrid w:val="0"/>
        <w:spacing w:line="800" w:lineRule="exact"/>
        <w:rPr>
          <w:rFonts w:hint="eastAsia" w:ascii="宋体" w:hAnsi="宋体" w:cs="宋体"/>
          <w:color w:val="auto"/>
          <w:sz w:val="44"/>
          <w:szCs w:val="4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SYZB-SJ-2021006</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青竹苑8幢36幢30幢39幢房屋渗水维修项目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常州市天宁区青龙街道社区服务中心</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九</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17-20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21-22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24-32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33</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28359011"/>
      <w:bookmarkStart w:id="1" w:name="_Toc35393797"/>
      <w:bookmarkStart w:id="2" w:name="_Toc35393789"/>
      <w:bookmarkStart w:id="3" w:name="_Toc28359001"/>
      <w:r>
        <w:rPr>
          <w:rFonts w:hint="eastAsia" w:ascii="宋体" w:hAnsi="宋体"/>
          <w:b/>
          <w:color w:val="auto"/>
          <w:sz w:val="28"/>
          <w:szCs w:val="28"/>
          <w:highlight w:val="none"/>
          <w:lang w:eastAsia="zh-CN"/>
        </w:rPr>
        <w:t>青竹苑8幢36幢30幢39幢房屋渗水维修项目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629"/>
      <w:bookmarkStart w:id="5" w:name="_Toc28359089"/>
      <w:bookmarkStart w:id="6" w:name="_Toc35393798"/>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青竹苑8幢36幢30幢39幢房屋渗水维修项目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2021年9</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24</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15</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SYZB-SJ-2021006</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青竹苑8幢36幢30幢39幢房屋渗水维修项目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72898.37</w:t>
      </w:r>
      <w:r>
        <w:rPr>
          <w:rFonts w:hint="eastAsia" w:cs="宋体" w:asciiTheme="minorEastAsia" w:hAnsiTheme="minorEastAsia" w:eastAsiaTheme="minorEastAsia"/>
          <w:color w:val="auto"/>
          <w:szCs w:val="21"/>
          <w:highlight w:val="none"/>
          <w:lang w:eastAsia="zh-CN"/>
        </w:rPr>
        <w:t>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控制价</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72898.37</w:t>
      </w:r>
      <w:r>
        <w:rPr>
          <w:rFonts w:hint="eastAsia" w:cs="宋体" w:asciiTheme="minorEastAsia" w:hAnsiTheme="minorEastAsia" w:eastAsiaTheme="minorEastAsia"/>
          <w:color w:val="auto"/>
          <w:szCs w:val="21"/>
          <w:highlight w:val="none"/>
          <w:lang w:eastAsia="zh-CN"/>
        </w:rPr>
        <w:t>元</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8" w:name="_Toc35393799"/>
      <w:bookmarkStart w:id="9" w:name="_Toc28359013"/>
      <w:bookmarkStart w:id="10" w:name="_Toc28359090"/>
      <w:bookmarkStart w:id="11" w:name="_Toc35393630"/>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青竹苑8幢36幢30幢39幢房屋渗水维修项目</w:t>
      </w:r>
      <w:r>
        <w:rPr>
          <w:rFonts w:hint="eastAsia" w:cs="宋体" w:asciiTheme="minorEastAsia" w:hAnsiTheme="minorEastAsia" w:eastAsiaTheme="minorEastAsia"/>
          <w:color w:val="auto"/>
          <w:szCs w:val="21"/>
          <w:highlight w:val="none"/>
        </w:rPr>
        <w:t>，包括但不限于</w:t>
      </w:r>
      <w:r>
        <w:rPr>
          <w:rFonts w:hint="eastAsia" w:cs="宋体" w:asciiTheme="minorEastAsia" w:hAnsiTheme="minorEastAsia" w:eastAsiaTheme="minorEastAsia"/>
          <w:color w:val="auto"/>
          <w:szCs w:val="21"/>
          <w:highlight w:val="none"/>
          <w:lang w:eastAsia="zh-CN"/>
        </w:rPr>
        <w:t>采购文件</w:t>
      </w:r>
      <w:r>
        <w:rPr>
          <w:rFonts w:hint="eastAsia" w:cs="宋体" w:asciiTheme="minorEastAsia" w:hAnsiTheme="minorEastAsia" w:eastAsiaTheme="minorEastAsia"/>
          <w:color w:val="auto"/>
          <w:szCs w:val="21"/>
          <w:highlight w:val="none"/>
        </w:rPr>
        <w:t>及其基本技术要求范围内相应</w:t>
      </w:r>
      <w:r>
        <w:rPr>
          <w:rFonts w:hint="eastAsia" w:cs="宋体" w:asciiTheme="minorEastAsia" w:hAnsiTheme="minorEastAsia" w:eastAsiaTheme="minorEastAsia"/>
          <w:color w:val="auto"/>
          <w:szCs w:val="21"/>
          <w:highlight w:val="none"/>
          <w:lang w:eastAsia="zh-CN"/>
        </w:rPr>
        <w:t>设计、</w:t>
      </w:r>
      <w:r>
        <w:rPr>
          <w:rFonts w:hint="eastAsia" w:cs="宋体" w:asciiTheme="minorEastAsia" w:hAnsiTheme="minorEastAsia" w:eastAsiaTheme="minorEastAsia"/>
          <w:color w:val="auto"/>
          <w:szCs w:val="21"/>
          <w:highlight w:val="none"/>
        </w:rPr>
        <w:t>工程开工前的准备（包括现场踏勘、技术核对等）、技术资料、施工、技术服务、主管单位验收、质保期及维保服务和</w:t>
      </w:r>
      <w:r>
        <w:rPr>
          <w:rFonts w:hint="eastAsia" w:cs="宋体" w:asciiTheme="minorEastAsia" w:hAnsiTheme="minorEastAsia" w:eastAsiaTheme="minorEastAsia"/>
          <w:color w:val="auto"/>
          <w:szCs w:val="21"/>
          <w:highlight w:val="none"/>
          <w:lang w:eastAsia="zh-CN"/>
        </w:rPr>
        <w:t>采购文件</w:t>
      </w:r>
      <w:r>
        <w:rPr>
          <w:rFonts w:hint="eastAsia" w:cs="宋体" w:asciiTheme="minorEastAsia" w:hAnsiTheme="minorEastAsia" w:eastAsiaTheme="minorEastAsia"/>
          <w:color w:val="auto"/>
          <w:szCs w:val="21"/>
          <w:highlight w:val="none"/>
        </w:rPr>
        <w:t>所要求的相关工程等全部内容。</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15</w:t>
      </w:r>
      <w:r>
        <w:rPr>
          <w:rFonts w:hint="eastAsia" w:cs="宋体" w:asciiTheme="minorEastAsia" w:hAnsiTheme="minorEastAsia" w:eastAsiaTheme="minorEastAsia"/>
          <w:color w:val="auto"/>
          <w:szCs w:val="21"/>
          <w:highlight w:val="none"/>
        </w:rPr>
        <w:t>日历日</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bookmarkStart w:id="12" w:name="_Toc28359091"/>
      <w:bookmarkStart w:id="13" w:name="_Toc28359014"/>
      <w:bookmarkStart w:id="14" w:name="_Toc35393800"/>
      <w:bookmarkStart w:id="15" w:name="_Toc35393631"/>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具有独立承担民事责任的能力。</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具有良好的商业信誉。</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具有履行合同所必需的设备。</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参加本次招投标活动前三年内，在经营活动中没有重大违法记录。</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val="en-US"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3.未被“信用中国”网站（WWW.creditchina.gov.cn）或“中国政府采购网”网站（www.ccgp.gov.cn）列入失信被执行人、重大税收违法案件当事人名单、政府采购严重失信行为记录名单；</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4.单位负责人为同一人或者存在直接控股、管理关系的不同供应商（包含法定代表人为同一个人的两个及两个以上法人，母公司、全资子公司及其控股公司），不得参加同一合同项下的政府采购活动；</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（1）具有独立履行合同所必须的资金实力和提供优质服务的能力；</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（2）提供有效的营业执照，经营范围涵盖防水维修等项目。</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2021年9</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16</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801"/>
      <w:bookmarkStart w:id="17" w:name="_Toc35393632"/>
      <w:bookmarkStart w:id="18" w:name="_Toc28359092"/>
      <w:bookmarkStart w:id="19" w:name="_Toc28359015"/>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2021年9</w:t>
      </w:r>
      <w:r>
        <w:rPr>
          <w:rFonts w:hint="eastAsia" w:cs="宋体" w:asciiTheme="minorEastAsia" w:hAnsiTheme="minorEastAsia" w:eastAsiaTheme="minorEastAsia"/>
          <w:b w:val="0"/>
          <w:bCs w:val="0"/>
          <w:color w:val="auto"/>
          <w:szCs w:val="21"/>
          <w:highlight w:val="none"/>
        </w:rPr>
        <w:t>月</w:t>
      </w:r>
      <w:r>
        <w:rPr>
          <w:rFonts w:hint="eastAsia" w:cs="宋体" w:asciiTheme="minorEastAsia" w:hAnsiTheme="minorEastAsia" w:eastAsiaTheme="minorEastAsia"/>
          <w:b w:val="0"/>
          <w:bCs w:val="0"/>
          <w:color w:val="auto"/>
          <w:szCs w:val="21"/>
          <w:highlight w:val="none"/>
          <w:lang w:val="en-US" w:eastAsia="zh-CN"/>
        </w:rPr>
        <w:t>24</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15</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634"/>
      <w:bookmarkStart w:id="21" w:name="_Toc28359017"/>
      <w:bookmarkStart w:id="22" w:name="_Toc28359094"/>
      <w:bookmarkStart w:id="23" w:name="_Toc35393803"/>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804"/>
      <w:bookmarkStart w:id="25" w:name="_Toc35393635"/>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color w:val="auto"/>
          <w:szCs w:val="21"/>
          <w:highlight w:val="none"/>
        </w:rPr>
        <w:t>人民币</w:t>
      </w:r>
      <w:r>
        <w:rPr>
          <w:rFonts w:hint="eastAsia" w:cs="宋体" w:asciiTheme="minorEastAsia" w:hAnsiTheme="minorEastAsia" w:eastAsiaTheme="minorEastAsia"/>
          <w:b/>
          <w:color w:val="auto"/>
          <w:szCs w:val="21"/>
          <w:highlight w:val="none"/>
          <w:lang w:val="en-US" w:eastAsia="zh-CN"/>
        </w:rPr>
        <w:t>壹仟</w:t>
      </w:r>
      <w:r>
        <w:rPr>
          <w:rFonts w:hint="eastAsia" w:cs="宋体" w:asciiTheme="minorEastAsia" w:hAnsiTheme="minorEastAsia" w:eastAsiaTheme="minorEastAsia"/>
          <w:b/>
          <w:color w:val="auto"/>
          <w:szCs w:val="21"/>
          <w:highlight w:val="none"/>
        </w:rPr>
        <w:t>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到帐截止日期：2021年9月23日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28359018"/>
      <w:bookmarkStart w:id="28" w:name="_Toc35393636"/>
      <w:bookmarkStart w:id="29" w:name="_Toc28359095"/>
      <w:r>
        <w:rPr>
          <w:rFonts w:hint="eastAsia" w:cs="宋体" w:asciiTheme="minorEastAsia" w:hAnsiTheme="minorEastAsia" w:eastAsiaTheme="minorEastAsia"/>
          <w:color w:val="auto"/>
          <w:szCs w:val="21"/>
          <w:highlight w:val="none"/>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19"/>
      <w:bookmarkStart w:id="31" w:name="_Toc35393806"/>
      <w:bookmarkStart w:id="32" w:name="_Toc35393637"/>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常州市天宁区青龙街道社区服务中心</w:t>
      </w:r>
    </w:p>
    <w:p>
      <w:pPr>
        <w:snapToGrid w:val="0"/>
        <w:spacing w:line="360" w:lineRule="exact"/>
        <w:ind w:firstLine="420" w:firstLineChars="200"/>
        <w:rPr>
          <w:rFonts w:ascii="宋体" w:hAnsi="宋体"/>
          <w:color w:val="auto"/>
          <w:spacing w:val="2"/>
          <w:szCs w:val="21"/>
          <w:highlight w:val="none"/>
        </w:rPr>
      </w:pPr>
      <w:r>
        <w:rPr>
          <w:rFonts w:hint="eastAsia" w:ascii="宋体" w:hAnsi="宋体"/>
          <w:color w:val="auto"/>
          <w:szCs w:val="21"/>
          <w:highlight w:val="none"/>
        </w:rPr>
        <w:t>联系地址：常州市天宁区河海东路9号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徐先生、</w:t>
      </w:r>
      <w:r>
        <w:rPr>
          <w:rFonts w:hint="eastAsia" w:ascii="宋体" w:hAnsi="宋体"/>
          <w:color w:val="auto"/>
          <w:spacing w:val="2"/>
          <w:szCs w:val="21"/>
          <w:highlight w:val="none"/>
        </w:rPr>
        <w:t>0519-85508920</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28359097"/>
      <w:bookmarkStart w:id="35" w:name="_Toc35393807"/>
      <w:bookmarkStart w:id="36" w:name="_Toc35393638"/>
      <w:bookmarkStart w:id="37" w:name="_Toc28359020"/>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35393808"/>
      <w:bookmarkStart w:id="39" w:name="_Toc28359098"/>
      <w:bookmarkStart w:id="40" w:name="_Toc35393639"/>
      <w:bookmarkStart w:id="41" w:name="_Toc28359021"/>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电话：18661175841</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olor w:val="auto"/>
          <w:szCs w:val="21"/>
          <w:highlight w:val="none"/>
        </w:rPr>
        <w:t>本工程谈判报价采用工程量清单报价。供应商</w:t>
      </w:r>
      <w:r>
        <w:rPr>
          <w:rFonts w:ascii="宋体" w:hAnsi="宋体"/>
          <w:color w:val="auto"/>
          <w:szCs w:val="21"/>
          <w:highlight w:val="none"/>
        </w:rPr>
        <w:t>应按</w:t>
      </w:r>
      <w:r>
        <w:rPr>
          <w:rFonts w:hint="eastAsia" w:ascii="宋体" w:hAnsi="宋体"/>
          <w:color w:val="auto"/>
          <w:szCs w:val="21"/>
          <w:highlight w:val="none"/>
        </w:rPr>
        <w:t>要求提供已标价工程量清单。</w:t>
      </w:r>
    </w:p>
    <w:p>
      <w:pPr>
        <w:tabs>
          <w:tab w:val="left" w:pos="284"/>
        </w:tabs>
        <w:spacing w:line="360" w:lineRule="exact"/>
        <w:ind w:firstLine="422" w:firstLineChars="200"/>
        <w:rPr>
          <w:rFonts w:ascii="宋体" w:hAnsi="宋体" w:cs="宋体"/>
          <w:color w:val="auto"/>
          <w:szCs w:val="21"/>
          <w:highlight w:val="none"/>
        </w:rPr>
      </w:pPr>
      <w:r>
        <w:rPr>
          <w:rFonts w:hint="eastAsia" w:ascii="宋体" w:hAnsi="宋体"/>
          <w:b/>
          <w:color w:val="auto"/>
          <w:szCs w:val="21"/>
          <w:highlight w:val="none"/>
        </w:rPr>
        <w:t>*</w:t>
      </w:r>
      <w:r>
        <w:rPr>
          <w:rFonts w:hint="eastAsia" w:ascii="宋体" w:hAnsi="宋体"/>
          <w:b/>
          <w:bCs/>
          <w:color w:val="auto"/>
          <w:szCs w:val="21"/>
          <w:highlight w:val="none"/>
        </w:rPr>
        <w:t>已标价工程量清单包括（</w:t>
      </w:r>
      <w:r>
        <w:rPr>
          <w:rFonts w:hint="eastAsia" w:ascii="宋体" w:hAnsi="宋体"/>
          <w:b/>
          <w:color w:val="auto"/>
          <w:szCs w:val="21"/>
          <w:highlight w:val="none"/>
        </w:rPr>
        <w:t>根据最新工程量清单计价规范提供）:</w:t>
      </w:r>
      <w:r>
        <w:rPr>
          <w:rFonts w:hint="eastAsia" w:ascii="宋体" w:hAnsi="宋体"/>
          <w:color w:val="auto"/>
          <w:szCs w:val="21"/>
          <w:highlight w:val="none"/>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等。</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7.2本项目谈判报价为</w:t>
      </w:r>
      <w:r>
        <w:rPr>
          <w:rFonts w:hint="eastAsia" w:ascii="宋体" w:hAnsi="宋体" w:cs="宋体"/>
          <w:b/>
          <w:bCs/>
          <w:color w:val="auto"/>
          <w:szCs w:val="21"/>
          <w:highlight w:val="none"/>
          <w:u w:val="none"/>
        </w:rPr>
        <w:t>固定综合单价</w:t>
      </w:r>
      <w:r>
        <w:rPr>
          <w:rFonts w:hint="eastAsia" w:ascii="宋体" w:hAnsi="宋体" w:cs="宋体"/>
          <w:color w:val="auto"/>
          <w:szCs w:val="21"/>
          <w:highlight w:val="none"/>
        </w:rPr>
        <w:t>，</w:t>
      </w:r>
      <w:r>
        <w:rPr>
          <w:rFonts w:hint="eastAsia" w:ascii="宋体" w:hAnsi="宋体"/>
          <w:color w:val="auto"/>
          <w:szCs w:val="21"/>
          <w:highlight w:val="none"/>
        </w:rPr>
        <w:t>谈判</w:t>
      </w:r>
      <w:r>
        <w:rPr>
          <w:rFonts w:ascii="宋体" w:hAnsi="宋体"/>
          <w:color w:val="auto"/>
          <w:szCs w:val="21"/>
          <w:highlight w:val="none"/>
        </w:rPr>
        <w:t>报价为</w:t>
      </w:r>
      <w:r>
        <w:rPr>
          <w:rFonts w:hint="eastAsia" w:ascii="宋体" w:hAnsi="宋体"/>
          <w:color w:val="auto"/>
          <w:szCs w:val="21"/>
          <w:highlight w:val="none"/>
        </w:rPr>
        <w:t>供应商</w:t>
      </w:r>
      <w:r>
        <w:rPr>
          <w:rFonts w:ascii="宋体" w:hAnsi="宋体"/>
          <w:color w:val="auto"/>
          <w:szCs w:val="21"/>
          <w:highlight w:val="none"/>
        </w:rPr>
        <w:t>在</w:t>
      </w:r>
      <w:r>
        <w:rPr>
          <w:rFonts w:hint="eastAsia" w:ascii="宋体" w:hAnsi="宋体"/>
          <w:color w:val="auto"/>
          <w:szCs w:val="21"/>
          <w:highlight w:val="none"/>
        </w:rPr>
        <w:t>谈判响应文件</w:t>
      </w:r>
      <w:r>
        <w:rPr>
          <w:rFonts w:ascii="宋体" w:hAnsi="宋体"/>
          <w:color w:val="auto"/>
          <w:szCs w:val="21"/>
          <w:highlight w:val="none"/>
        </w:rPr>
        <w:t>中提出的各项支付金额的总和</w:t>
      </w:r>
      <w:r>
        <w:rPr>
          <w:rFonts w:hint="eastAsia" w:ascii="宋体" w:hAnsi="宋体" w:cs="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7.3供应商所填报的各项基价中的各种材料单价在合同实施期间不因市场价格变化因素而变动，供应商在报综合单价时应考虑各种风险因素和自己的承受能力。</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4因设计变更引起工程项目、工程量变化的，变更合同价款</w:t>
      </w:r>
      <w:r>
        <w:rPr>
          <w:rFonts w:hint="eastAsia" w:ascii="宋体" w:hAnsi="宋体"/>
          <w:color w:val="auto"/>
          <w:szCs w:val="21"/>
          <w:highlight w:val="none"/>
          <w:lang w:eastAsia="zh-CN"/>
        </w:rPr>
        <w:t>详见合同条款</w:t>
      </w:r>
      <w:r>
        <w:rPr>
          <w:rFonts w:hint="eastAsia" w:ascii="宋体" w:hAnsi="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7.5代理机构反对盲目压低报价。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7.6谈判报价的编制要求：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7.6.1谈判报价应该是按竞争性谈判文件规定的采购范围内工程量清单所列项目的全部费用总和，是竞争性谈判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7.6.2供应商应根据竞争性谈判文件（含工程量清单）的有关要求，施工现场实际情况及拟定的施工方案或施工组织设计，依据企业定额和市场价格信息或参照建设行政主管部门发布的计价定额编制谈判报价，供应商的谈判总价应当与分部分项工程费、措施项目费、其他项目费和规费、税金的合计金额一致。供应商在进行工程量清单采购的谈判报价时，不能进行谈判总价的优惠让利，供应商对谈判报价的任何优惠让利均应反映在相应清单项目的综合单价中，不可竞争费不得优惠让利。</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7.6.3其他项目清单中的材料暂估价、暂列金额、专业工程暂估价、预留金均不能优惠，虽在谈判时计入供应商的报价中，但不应视为供应商所有。</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7.6.4工程量清单是按建设方提供相关的图纸、规范、标准图集和技术资料、</w:t>
      </w:r>
      <w:r>
        <w:rPr>
          <w:rFonts w:hint="eastAsia" w:asciiTheme="minorEastAsia" w:hAnsiTheme="minorEastAsia" w:eastAsiaTheme="minorEastAsia" w:cstheme="minorEastAsia"/>
          <w:color w:val="auto"/>
          <w:szCs w:val="21"/>
          <w:highlight w:val="none"/>
        </w:rPr>
        <w:t>《建设工程工程量清单计价规范》GB50500-2013、《江苏省建筑与装饰工程计价定额》（2014年）、《江苏省安装工程计价定额》（2014年）、《江苏省建设工程费用定额》（2014年）营改增后调整内容、常州市城乡建设局常建（2016）94号文</w:t>
      </w:r>
      <w:r>
        <w:rPr>
          <w:rFonts w:hint="eastAsia" w:asciiTheme="minorEastAsia" w:hAnsiTheme="minorEastAsia" w:eastAsiaTheme="minorEastAsia" w:cstheme="minorEastAsia"/>
          <w:bCs/>
          <w:color w:val="auto"/>
          <w:kern w:val="0"/>
          <w:szCs w:val="21"/>
          <w:highlight w:val="none"/>
        </w:rPr>
        <w:t>关于转发《省住房城乡建设厅关于建筑业实施营改增后江苏省建设工程计价依据调整的通知》的通知、</w:t>
      </w:r>
      <w:r>
        <w:rPr>
          <w:rFonts w:hint="eastAsia" w:asciiTheme="minorEastAsia" w:hAnsiTheme="minorEastAsia" w:eastAsiaTheme="minorEastAsia" w:cstheme="minorEastAsia"/>
          <w:color w:val="auto"/>
          <w:szCs w:val="21"/>
          <w:highlight w:val="none"/>
        </w:rPr>
        <w:t>江苏省现行专业计价定额材料含税价与除税价表、江苏省机械台班计价定额含税价与除税价表、江苏省及常州市有关现行文件</w:t>
      </w:r>
      <w:r>
        <w:rPr>
          <w:rFonts w:hint="eastAsia" w:ascii="宋体" w:hAnsi="宋体" w:cs="宋体"/>
          <w:color w:val="auto"/>
          <w:szCs w:val="21"/>
          <w:highlight w:val="none"/>
        </w:rPr>
        <w:t xml:space="preserve">编制。施工中所用的材料、成品、半成品在制作、运输、安装中等发生的一切损耗应包括在报价内。工程量清单标明的工程量是供应商报价的共同基础，竣工结算的工程量按采购人和供应商双方在合同约定的应予计量、且实际完成的工程量确定。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7.6.5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供应商根据各自情况自报并计入谈判总价。特别强调：为进一步提升施工现场管理，要求施工过程中的围墙 （围挡）、工地施工过程管理、渣土装载运输等，应认真落实执行相关配套文件精神，有关费用承包人须在项目措施费中落实。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7.6.6供应商应按采购人提供的工程量清单填报价格，填写的项目编码、项目名称、项目特征、计量单位、工程量必须与采购人提供的一致。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7.7.7分部分项工程费应依据最新计价规范综合单价组成内容，按分部分项工程量清单项目的特征述确定综合单价（当施工图纸与工程量清单项目特征描述不一致时，以工程量清单项目特征描述为准）。综合单价中应考虑谈判响应文件中要求供应商承担的风险费用。暂估单价的材料，按暂估的单价计入综合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供应商提出适当的措施费变更要求，经采购人、监理、审计部门确认后调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7.7.9除非采购人对竞争性谈判文件予以修改，否则供应商应按采购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7.7.10以暂估项目形式包括在总承包范围内的工程、货物、服务属于依法必须进行招标的项目范围且达到国家规定规模标准的，应当依法进行招标。工程量清单中材料暂估价和专业工程暂估价，由成交供应商和采购人共同组织招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7.7.11本工程工程量清单及编制说明中提供材料（设备）备选品牌（或规格、型号、产地）的，应在备选品牌（或规格、型号、产地）范围内自行选择一款并根据市场行情及自身实际情况进行组价、报价。凡清单中提供可选品牌的材料（设备），谈判报价的“供应商供应主要材料一览表”中应注明供应商所选择的材料（设备）的品牌（或规格、型号、产地） ，未注明上述信息的，视为供应商同意由采购人选择相应材料（设备）的品牌（或规格、型号、产地） ，但材料（设备）价格不予调整。因可选品牌材料（设备）之间客观存在的差异所引起的价格差异由供应商在谈判报价时综合考虑。成交后，供应商不得因此提出价格调整的要求。代理机构所提供的工程量清单，应认为已包括完成本工程的所有项目。凡设计图纸已指明的工程或完成图纸所示的附属工程、相关工程、衔接与后续工程所需的费用，供应商应计入相关项目的单价中。供应商未填单价或合价的工程项目在实施后，采购人将不予以支付，并视为该项费用已包括在其他有价款的单价或合价内，供应商必须按监理工程师的指令完成工程量清单中未填入单价或总额价的工程细目，但不能得到支付与结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7.7.12供应商在投标前应对现场进行认真踏勘，熟悉工程现场和周围环境，了解一切可能影响谈判响应</w:t>
      </w:r>
      <w:r>
        <w:rPr>
          <w:rFonts w:ascii="宋体" w:hAnsi="宋体" w:cs="宋体"/>
          <w:color w:val="auto"/>
          <w:szCs w:val="21"/>
          <w:highlight w:val="none"/>
        </w:rPr>
        <w:t>文件</w:t>
      </w:r>
      <w:r>
        <w:rPr>
          <w:rFonts w:hint="eastAsia" w:ascii="宋体" w:hAnsi="宋体" w:cs="宋体"/>
          <w:color w:val="auto"/>
          <w:szCs w:val="21"/>
          <w:highlight w:val="none"/>
        </w:rPr>
        <w:t>方案、报价等编制谈判响应</w:t>
      </w:r>
      <w:r>
        <w:rPr>
          <w:rFonts w:ascii="宋体" w:hAnsi="宋体" w:cs="宋体"/>
          <w:color w:val="auto"/>
          <w:szCs w:val="21"/>
          <w:highlight w:val="none"/>
        </w:rPr>
        <w:t>文件</w:t>
      </w:r>
      <w:r>
        <w:rPr>
          <w:rFonts w:hint="eastAsia" w:ascii="宋体" w:hAnsi="宋体" w:cs="宋体"/>
          <w:color w:val="auto"/>
          <w:szCs w:val="21"/>
          <w:highlight w:val="none"/>
        </w:rPr>
        <w:t>谈判响应文件的资料，并承担考查现场的责任和风险以及踏勘现场所发生的自身费用。成交后，供应商不得以不完全了解施工现场及周围环境为由，提出额外款项增加、补偿或延长工期等要求。同时作为一个有经验的成交供应商，应充分考虑与施工现场周边居民的关系及外围矛盾的协调，谈判报价时应包含解决与当地居民、地方矛盾所产生的费用，并承担相应的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7.7.13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w:t>
      </w:r>
      <w:r>
        <w:rPr>
          <w:rFonts w:hint="eastAsia" w:ascii="宋体" w:hAnsi="宋体" w:cs="宋体"/>
          <w:b/>
          <w:color w:val="auto"/>
          <w:szCs w:val="21"/>
          <w:highlight w:val="none"/>
        </w:rPr>
        <w:t>8谈判报价高于</w:t>
      </w:r>
      <w:r>
        <w:rPr>
          <w:rFonts w:hint="eastAsia" w:ascii="宋体" w:hAnsi="宋体" w:cs="宋体"/>
          <w:b/>
          <w:color w:val="auto"/>
          <w:szCs w:val="21"/>
          <w:highlight w:val="none"/>
          <w:lang w:eastAsia="zh-CN"/>
        </w:rPr>
        <w:t>控制</w:t>
      </w:r>
      <w:r>
        <w:rPr>
          <w:rFonts w:hint="eastAsia" w:ascii="宋体" w:hAnsi="宋体" w:cs="宋体"/>
          <w:b/>
          <w:color w:val="auto"/>
          <w:szCs w:val="21"/>
          <w:highlight w:val="none"/>
        </w:rPr>
        <w:t>价或者清单子目综合单价的</w:t>
      </w:r>
      <w:r>
        <w:rPr>
          <w:rFonts w:hint="eastAsia" w:ascii="宋体" w:hAnsi="宋体" w:cs="宋体"/>
          <w:b/>
          <w:color w:val="auto"/>
          <w:szCs w:val="21"/>
          <w:highlight w:val="none"/>
          <w:lang w:eastAsia="zh-CN"/>
        </w:rPr>
        <w:t>均</w:t>
      </w:r>
      <w:r>
        <w:rPr>
          <w:rFonts w:hint="eastAsia" w:ascii="宋体" w:hAnsi="宋体" w:cs="宋体"/>
          <w:b/>
          <w:color w:val="auto"/>
          <w:szCs w:val="21"/>
          <w:highlight w:val="none"/>
        </w:rPr>
        <w:t>作为无效响应处理。</w:t>
      </w:r>
    </w:p>
    <w:p>
      <w:pPr>
        <w:spacing w:line="360" w:lineRule="exact"/>
        <w:ind w:firstLine="422" w:firstLineChars="200"/>
        <w:rPr>
          <w:rFonts w:ascii="宋体" w:hAnsi="宋体" w:cs="宋体"/>
          <w:color w:val="auto"/>
          <w:szCs w:val="21"/>
          <w:highlight w:val="none"/>
        </w:rPr>
      </w:pPr>
      <w:r>
        <w:rPr>
          <w:rFonts w:ascii="宋体" w:hAnsi="宋体" w:cs="宋体"/>
          <w:b/>
          <w:color w:val="auto"/>
          <w:szCs w:val="21"/>
          <w:highlight w:val="none"/>
        </w:rPr>
        <w:t>7.</w:t>
      </w:r>
      <w:r>
        <w:rPr>
          <w:rFonts w:hint="eastAsia" w:ascii="宋体" w:hAnsi="宋体" w:cs="宋体"/>
          <w:b/>
          <w:color w:val="auto"/>
          <w:szCs w:val="21"/>
          <w:highlight w:val="none"/>
        </w:rPr>
        <w:t>9</w:t>
      </w:r>
      <w:r>
        <w:rPr>
          <w:rFonts w:hint="eastAsia" w:ascii="宋体" w:hAnsi="宋体"/>
          <w:b/>
          <w:color w:val="auto"/>
          <w:szCs w:val="21"/>
          <w:highlight w:val="none"/>
        </w:rPr>
        <w:t>谈判报价次数：</w:t>
      </w:r>
      <w:r>
        <w:rPr>
          <w:rFonts w:hint="eastAsia" w:ascii="宋体" w:hAnsi="宋体"/>
          <w:color w:val="auto"/>
          <w:szCs w:val="21"/>
          <w:highlight w:val="none"/>
        </w:rPr>
        <w:t>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r>
        <w:rPr>
          <w:rFonts w:hint="eastAsia" w:ascii="宋体" w:hAnsi="宋体"/>
          <w:b/>
          <w:color w:val="auto"/>
          <w:szCs w:val="21"/>
          <w:highlight w:val="none"/>
        </w:rPr>
        <w:t>签订合同时单价根据最终报价与首次报价之比同比例下浮。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lang w:eastAsia="zh-CN"/>
        </w:rPr>
        <w:t>，必须包括清单报价软件版及excel版</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w:t>
      </w:r>
      <w:r>
        <w:rPr>
          <w:rFonts w:hint="eastAsia" w:ascii="宋体" w:hAnsi="宋体"/>
          <w:b/>
          <w:color w:val="auto"/>
          <w:spacing w:val="2"/>
          <w:szCs w:val="21"/>
          <w:highlight w:val="none"/>
          <w:lang w:val="en-US" w:eastAsia="zh-CN"/>
        </w:rPr>
        <w:t>(</w:t>
      </w:r>
      <w:r>
        <w:rPr>
          <w:rFonts w:hint="eastAsia" w:ascii="宋体" w:hAnsi="宋体"/>
          <w:b/>
          <w:color w:val="auto"/>
          <w:spacing w:val="2"/>
          <w:szCs w:val="21"/>
          <w:highlight w:val="none"/>
        </w:rPr>
        <w:t>或代理人</w:t>
      </w:r>
      <w:r>
        <w:rPr>
          <w:rFonts w:hint="eastAsia" w:ascii="宋体" w:hAnsi="宋体"/>
          <w:b/>
          <w:color w:val="auto"/>
          <w:spacing w:val="2"/>
          <w:szCs w:val="21"/>
          <w:highlight w:val="none"/>
          <w:lang w:val="en-US" w:eastAsia="zh-CN"/>
        </w:rPr>
        <w:t>)</w:t>
      </w:r>
      <w:r>
        <w:rPr>
          <w:rFonts w:hint="eastAsia" w:ascii="宋体" w:hAnsi="宋体"/>
          <w:b/>
          <w:color w:val="auto"/>
          <w:spacing w:val="2"/>
          <w:szCs w:val="21"/>
          <w:highlight w:val="none"/>
        </w:rPr>
        <w:t>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投标</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w:t>
      </w:r>
      <w:r>
        <w:rPr>
          <w:rFonts w:hint="eastAsia" w:ascii="宋体" w:hAnsi="宋体" w:cs="宋体"/>
          <w:color w:val="auto"/>
          <w:szCs w:val="21"/>
          <w:highlight w:val="none"/>
          <w:lang w:eastAsia="zh-CN"/>
        </w:rPr>
        <w:t>（</w:t>
      </w:r>
      <w:r>
        <w:rPr>
          <w:rFonts w:hint="eastAsia" w:ascii="宋体" w:hAnsi="宋体" w:cs="宋体"/>
          <w:color w:val="auto"/>
          <w:szCs w:val="21"/>
          <w:highlight w:val="none"/>
        </w:rPr>
        <w:t>或委托代理人</w:t>
      </w:r>
      <w:r>
        <w:rPr>
          <w:rFonts w:hint="eastAsia" w:ascii="宋体" w:hAnsi="宋体" w:cs="宋体"/>
          <w:color w:val="auto"/>
          <w:szCs w:val="21"/>
          <w:highlight w:val="none"/>
          <w:lang w:eastAsia="zh-CN"/>
        </w:rPr>
        <w:t>）</w:t>
      </w:r>
      <w:r>
        <w:rPr>
          <w:rFonts w:hint="eastAsia" w:ascii="宋体" w:hAnsi="宋体" w:cs="宋体"/>
          <w:color w:val="auto"/>
          <w:szCs w:val="21"/>
          <w:highlight w:val="none"/>
        </w:rPr>
        <w:t>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r>
        <w:rPr>
          <w:rFonts w:hint="eastAsia" w:ascii="宋体" w:hAnsi="宋体" w:cs="宋体"/>
          <w:b/>
          <w:color w:val="auto"/>
          <w:szCs w:val="21"/>
          <w:highlight w:val="none"/>
        </w:rPr>
        <w:t>如不能提供有效证明或不参加</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会的，则视</w:t>
      </w:r>
      <w:r>
        <w:rPr>
          <w:rFonts w:hint="eastAsia" w:ascii="宋体" w:hAnsi="宋体" w:cs="宋体"/>
          <w:b/>
          <w:color w:val="auto"/>
          <w:szCs w:val="21"/>
          <w:highlight w:val="none"/>
          <w:lang w:eastAsia="zh-CN"/>
        </w:rPr>
        <w:t>为</w:t>
      </w:r>
      <w:r>
        <w:rPr>
          <w:rFonts w:hint="eastAsia" w:ascii="宋体" w:hAnsi="宋体" w:cs="宋体"/>
          <w:b/>
          <w:color w:val="auto"/>
          <w:szCs w:val="21"/>
          <w:highlight w:val="none"/>
        </w:rPr>
        <w:t>自动放弃</w:t>
      </w:r>
      <w:r>
        <w:rPr>
          <w:rFonts w:hint="eastAsia" w:ascii="宋体" w:hAnsi="宋体" w:cs="宋体"/>
          <w:b/>
          <w:color w:val="auto"/>
          <w:szCs w:val="21"/>
          <w:highlight w:val="none"/>
          <w:lang w:eastAsia="zh-CN"/>
        </w:rPr>
        <w:t>本项目</w:t>
      </w:r>
      <w:r>
        <w:rPr>
          <w:rFonts w:hint="eastAsia" w:ascii="宋体" w:hAnsi="宋体" w:cs="宋体"/>
          <w:b/>
          <w:color w:val="auto"/>
          <w:szCs w:val="21"/>
          <w:highlight w:val="none"/>
        </w:rPr>
        <w:t>，其</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文件不予受理。</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16.2.6谈判小组决定投标的响应性只根据谈判响应文件本身的内容，而不寻求外部的证据；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评委</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2未按竞争性谈判文件要求缴纳谈判保证金的；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3谈判响应文件未按规定胶装、密封、签字、盖章的，电子光盘未</w:t>
      </w:r>
      <w:r>
        <w:rPr>
          <w:rFonts w:ascii="宋体" w:hAnsi="宋体" w:cs="宋体"/>
          <w:color w:val="auto"/>
          <w:szCs w:val="21"/>
          <w:highlight w:val="none"/>
        </w:rPr>
        <w:t>提供</w:t>
      </w:r>
      <w:r>
        <w:rPr>
          <w:rFonts w:hint="eastAsia" w:ascii="宋体" w:hAnsi="宋体" w:cs="宋体"/>
          <w:color w:val="auto"/>
          <w:szCs w:val="21"/>
          <w:highlight w:val="none"/>
        </w:rPr>
        <w:t>或未</w:t>
      </w:r>
      <w:r>
        <w:rPr>
          <w:rFonts w:ascii="宋体" w:hAnsi="宋体" w:cs="宋体"/>
          <w:color w:val="auto"/>
          <w:szCs w:val="21"/>
          <w:highlight w:val="none"/>
        </w:rPr>
        <w:t>单独密封</w:t>
      </w:r>
      <w:r>
        <w:rPr>
          <w:rFonts w:hint="eastAsia" w:ascii="宋体" w:hAnsi="宋体" w:cs="宋体"/>
          <w:color w:val="auto"/>
          <w:szCs w:val="21"/>
          <w:highlight w:val="none"/>
        </w:rPr>
        <w:t>的</w:t>
      </w:r>
      <w:r>
        <w:rPr>
          <w:rFonts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w:t>
      </w:r>
      <w:r>
        <w:rPr>
          <w:rFonts w:hint="eastAsia" w:ascii="宋体" w:hAnsi="宋体" w:cs="宋体"/>
          <w:b/>
          <w:color w:val="auto"/>
          <w:szCs w:val="21"/>
          <w:highlight w:val="none"/>
        </w:rPr>
        <w:t>4供应商被列入失信被执行人、重大税收违法案件当事人名单的。（查询渠道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信用中国（www.creditchina.gov.cn）、信用江苏（</w:t>
      </w:r>
      <w:r>
        <w:rPr>
          <w:rFonts w:ascii="宋体" w:hAnsi="宋体"/>
          <w:b/>
          <w:color w:val="auto"/>
          <w:szCs w:val="21"/>
          <w:highlight w:val="none"/>
        </w:rPr>
        <w:t>http://www.jscredit.gov.cn/index.htm</w:t>
      </w:r>
      <w:r>
        <w:rPr>
          <w:rFonts w:hint="eastAsia" w:ascii="宋体" w:hAnsi="宋体"/>
          <w:b/>
          <w:color w:val="auto"/>
          <w:szCs w:val="21"/>
          <w:highlight w:val="none"/>
        </w:rPr>
        <w:t>）网站的相关主体信用记录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谈判响应文件未按竞争性谈判文件规定的格式、内容和要求编制，谈判响应文件字迹潦草、模糊、难以辨认；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谈判响应文件材料所述情况和所附相关资料不实的；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供应商以他人的名义参与谈判、相互串通、以行贿手段谋取成交或者以其他弄虚作假方式参与谈判的。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供应商在一份谈判响应文件中，对同一采购项目报有两个或多个报价，且未书面确定以哪个报价为准的；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10</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的报价超出控制价的；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18.3.11</w:t>
      </w:r>
      <w:r>
        <w:rPr>
          <w:rFonts w:hint="eastAsia" w:ascii="宋体" w:hAnsi="宋体" w:cs="宋体"/>
          <w:b/>
          <w:color w:val="auto"/>
          <w:szCs w:val="21"/>
          <w:highlight w:val="none"/>
          <w:lang w:eastAsia="zh-CN"/>
        </w:rPr>
        <w:t>谈判响应</w:t>
      </w:r>
      <w:r>
        <w:rPr>
          <w:rFonts w:hint="eastAsia" w:ascii="宋体" w:hAnsi="宋体" w:cs="宋体"/>
          <w:b/>
          <w:color w:val="auto"/>
          <w:szCs w:val="21"/>
          <w:highlight w:val="none"/>
        </w:rPr>
        <w:t>文件中</w:t>
      </w:r>
      <w:r>
        <w:rPr>
          <w:rFonts w:ascii="宋体" w:hAnsi="宋体" w:cs="宋体"/>
          <w:b/>
          <w:color w:val="auto"/>
          <w:szCs w:val="21"/>
          <w:highlight w:val="none"/>
        </w:rPr>
        <w:t>的</w:t>
      </w:r>
      <w:r>
        <w:rPr>
          <w:rFonts w:hint="eastAsia" w:ascii="宋体" w:hAnsi="宋体" w:cs="宋体"/>
          <w:b/>
          <w:color w:val="auto"/>
          <w:szCs w:val="21"/>
          <w:highlight w:val="none"/>
        </w:rPr>
        <w:t>分部分项综合单价高于控制价中综合单价的</w:t>
      </w:r>
      <w:r>
        <w:rPr>
          <w:rFonts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w:t>
      </w:r>
      <w:r>
        <w:rPr>
          <w:rFonts w:hint="eastAsia" w:ascii="宋体" w:hAnsi="宋体" w:cs="宋体"/>
          <w:color w:val="auto"/>
          <w:szCs w:val="21"/>
          <w:highlight w:val="none"/>
        </w:rPr>
        <w:t>.12改变竞争性谈判文件提供的工程量清单（包括清单中项目编号、项目名称、项目特征、计量单位、工程量），改变竞争性谈判文件规定的暂定价格或不可竞争费用标准的；</w:t>
      </w:r>
    </w:p>
    <w:p>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w:t>
      </w:r>
      <w:r>
        <w:rPr>
          <w:rFonts w:hint="eastAsia" w:ascii="宋体" w:hAnsi="宋体" w:cs="宋体"/>
          <w:color w:val="auto"/>
          <w:szCs w:val="21"/>
          <w:highlight w:val="none"/>
        </w:rPr>
        <w:t>.13经谈判小组认定施工组织设计严重偏差，无法实施的；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谈判响应文件含有采购人不能接受的附加条件的；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竞争性谈判文件明确规定无效的其他情形，或者其他被谈判小组认定无效的情况；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不符合法律、法规和竞争性谈判文件规定的其他实质性要求的。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4</w:t>
      </w:r>
      <w:r>
        <w:rPr>
          <w:rFonts w:hint="eastAsia" w:ascii="宋体" w:hAnsi="宋体" w:cs="宋体"/>
          <w:b/>
          <w:color w:val="auto"/>
          <w:szCs w:val="21"/>
          <w:highlight w:val="none"/>
        </w:rPr>
        <w:t>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.1不同供应商的谈判响应文件由同一单位或者个人编制；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2不同供应商委托同一单位或者个人办理投标事宜；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3不同供应商的谈判响应文件载明的项目管理成员或者联系人员为同一人；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4不同供应商的谈判响应文件异常一致或者投标报价呈规律性差异；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5不同供应商的谈判响应文件相互混装；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6不同供应商的谈判保证金从同一单位或者个人的账户转出。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3360"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10" name="任意多边形 10"/>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3120;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GEwoKXYAAAACQEAAA8AAAAAAAAAAQAgAAAAIgAAAGRycy9kb3du&#10;cmV2LnhtbFBLAQIUABQAAAAIAIdO4kAe1S3WqgIAAMYFAAAOAAAAAAAAAAEAIAAAACcBAABkcnMv&#10;ZTJvRG9jLnhtbFBLBQYAAAAABgAGAFkBAABD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6432"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6432;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3dKeNMAAAAIAQAADwAAAAAAAAABACAAAAAiAAAAZHJzL2Rvd25yZXYueG1s&#10;UEsBAhQAFAAAAAgAh07iQPaaq4X9AQAA1AMAAA4AAAAAAAAAAQAgAAAAIgEAAGRycy9lMm9Eb2Mu&#10;eG1sUEsFBgAAAAAGAAYAWQEAAJEFA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-113030</wp:posOffset>
                      </wp:positionH>
                      <wp:positionV relativeFrom="paragraph">
                        <wp:posOffset>-5080</wp:posOffset>
                      </wp:positionV>
                      <wp:extent cx="635" cy="0"/>
                      <wp:effectExtent l="0" t="0" r="0" b="0"/>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4384;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FCpAITmAQAA&#10;tg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5408"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5408;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wOSptUAAAAKAQAADwAAAAAAAAABACAAAAAiAAAAZHJzL2Rvd25yZXYueG1s&#10;UEsBAhQAFAAAAAgAh07iQB6XeJf7AQAA1AMAAA4AAAAAAAAAAQAgAAAAJAEAAGRycy9lMm9Eb2Mu&#10;eG1sUEsFBgAAAAAGAAYAWQEAAJEFA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0.7</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0.55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.2竞争性谈判文件、成交供应商的谈判响应文件及招标过程中有关澄清、承诺文件均应作为合同附件。</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合同履行中，采购人需追加与合同标的相同的货物和服务的，在不改变合同其他条款的前提下，可以与成交供应商协商签订补充合同。</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lang w:eastAsia="zh-CN"/>
        </w:rPr>
        <w:t>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spacing w:line="360" w:lineRule="exact"/>
        <w:ind w:firstLine="420" w:firstLineChars="200"/>
        <w:rPr>
          <w:rFonts w:hint="eastAsia" w:ascii="宋体" w:hAnsi="宋体" w:cs="宋体"/>
          <w:color w:val="auto"/>
          <w:szCs w:val="21"/>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证明供应商符合资格要求的证明材料包括但不限于以下材料（谈判响应文件中提供复印件并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*1.谈判响应函</w:t>
      </w:r>
    </w:p>
    <w:p>
      <w:pPr>
        <w:spacing w:line="360" w:lineRule="exact"/>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法定代表人身份证复印件（双面）</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.授权委托书、代理人身份证复印件（双面）（如果有授权委托情况的，必须提供）</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.谈判保证金单据</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2.谈判总价及工程量清单报价表</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40" w:lineRule="exact"/>
        <w:rPr>
          <w:rFonts w:ascii="宋体" w:hAnsi="宋体"/>
          <w:color w:val="auto"/>
          <w:highlight w:val="none"/>
        </w:rPr>
      </w:pPr>
      <w:r>
        <w:rPr>
          <w:rFonts w:hint="eastAsia" w:ascii="宋体" w:hAnsi="宋体"/>
          <w:color w:val="auto"/>
          <w:szCs w:val="21"/>
          <w:highlight w:val="none"/>
        </w:rPr>
        <w:t>2.</w:t>
      </w:r>
      <w:r>
        <w:rPr>
          <w:rFonts w:hint="eastAsia" w:ascii="宋体" w:hAnsi="宋体"/>
          <w:color w:val="auto"/>
          <w:highlight w:val="none"/>
        </w:rPr>
        <w:t>施工组织设计</w:t>
      </w:r>
    </w:p>
    <w:p>
      <w:pPr>
        <w:spacing w:line="340" w:lineRule="exact"/>
        <w:rPr>
          <w:rFonts w:ascii="宋体" w:hAnsi="宋体"/>
          <w:color w:val="auto"/>
          <w:szCs w:val="21"/>
          <w:highlight w:val="none"/>
        </w:rPr>
      </w:pPr>
      <w:r>
        <w:rPr>
          <w:rFonts w:hint="eastAsia" w:ascii="宋体" w:hAnsi="宋体"/>
          <w:color w:val="auto"/>
          <w:szCs w:val="21"/>
          <w:highlight w:val="none"/>
        </w:rPr>
        <w:t>*3.偏离表</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4.其他评审相关资料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rPr>
          <w:rFonts w:ascii="宋体" w:hAnsi="宋体"/>
          <w:b/>
          <w:bCs/>
          <w:color w:val="auto"/>
          <w:szCs w:val="21"/>
          <w:highlight w:val="none"/>
        </w:rPr>
      </w:pPr>
      <w:r>
        <w:rPr>
          <w:rFonts w:hint="eastAsia" w:ascii="宋体" w:hAnsi="宋体" w:cs="宋体"/>
          <w:color w:val="auto"/>
          <w:szCs w:val="21"/>
          <w:highlight w:val="none"/>
        </w:rPr>
        <w:t>1.上述带“*”条款供应商必须在谈判响应文件中提供，否则将作为无效响应处理。</w:t>
      </w:r>
      <w:r>
        <w:rPr>
          <w:rFonts w:hint="eastAsia" w:ascii="宋体" w:hAnsi="宋体"/>
          <w:b/>
          <w:bCs/>
          <w:color w:val="auto"/>
          <w:szCs w:val="21"/>
          <w:highlight w:val="none"/>
        </w:rPr>
        <w:t>所有项目若有缺失或无效将可能导致无效响应且不允许在谈判响应</w:t>
      </w:r>
      <w:r>
        <w:rPr>
          <w:rFonts w:ascii="宋体" w:hAnsi="宋体"/>
          <w:b/>
          <w:bCs/>
          <w:color w:val="auto"/>
          <w:szCs w:val="21"/>
          <w:highlight w:val="none"/>
        </w:rPr>
        <w:t>文件提交</w:t>
      </w:r>
      <w:r>
        <w:rPr>
          <w:rFonts w:hint="eastAsia" w:ascii="宋体" w:hAnsi="宋体"/>
          <w:b/>
          <w:bCs/>
          <w:color w:val="auto"/>
          <w:szCs w:val="21"/>
          <w:highlight w:val="none"/>
        </w:rPr>
        <w:t>截止后补正。</w:t>
      </w:r>
    </w:p>
    <w:p>
      <w:pPr>
        <w:spacing w:line="360" w:lineRule="exac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.对本章所有的格式 ，供应商可根据自身情况进行补充和修改，但补充和修改不得造成与本格式内容有实质性的违背。供应商可提供其它相关的证明材料（不限于此）。</w:t>
      </w:r>
    </w:p>
    <w:p>
      <w:pPr>
        <w:spacing w:line="360" w:lineRule="exact"/>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.谈判响应文件需按本章要求进行编制。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、项目内容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s="宋体"/>
          <w:color w:val="auto"/>
          <w:szCs w:val="21"/>
          <w:highlight w:val="none"/>
          <w:lang w:val="en-US" w:eastAsia="zh-CN"/>
        </w:rPr>
        <w:t>青竹苑8幢36幢30幢39幢房屋渗水维修项目</w:t>
      </w:r>
      <w:r>
        <w:rPr>
          <w:rFonts w:hint="eastAsia" w:ascii="宋体" w:hAnsi="宋体" w:cs="宋体"/>
          <w:color w:val="auto"/>
          <w:szCs w:val="21"/>
          <w:highlight w:val="none"/>
        </w:rPr>
        <w:t>，项目包括但不限于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及其基本技术要求范围内相应</w:t>
      </w:r>
      <w:r>
        <w:rPr>
          <w:rFonts w:hint="eastAsia" w:ascii="宋体" w:hAnsi="宋体" w:cs="宋体"/>
          <w:color w:val="auto"/>
          <w:szCs w:val="21"/>
          <w:highlight w:val="none"/>
          <w:lang w:eastAsia="zh-CN"/>
        </w:rPr>
        <w:t>设计、</w:t>
      </w:r>
      <w:r>
        <w:rPr>
          <w:rFonts w:hint="eastAsia" w:ascii="宋体" w:hAnsi="宋体" w:cs="宋体"/>
          <w:color w:val="auto"/>
          <w:szCs w:val="21"/>
          <w:highlight w:val="none"/>
        </w:rPr>
        <w:t>工程开工前的准备（包括现场踏勘、技术核对等）、技术资料、施工、技术服务、主管单位验收、质保期及维保服务和</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所要求的相关服务等全部内容。</w:t>
      </w:r>
    </w:p>
    <w:p>
      <w:pPr>
        <w:snapToGrid w:val="0"/>
        <w:spacing w:line="360" w:lineRule="exact"/>
        <w:ind w:firstLine="428" w:firstLineChars="200"/>
        <w:rPr>
          <w:rFonts w:hint="eastAsia" w:ascii="宋体" w:hAnsi="宋体" w:eastAsia="宋体"/>
          <w:color w:val="auto"/>
          <w:spacing w:val="2"/>
          <w:szCs w:val="21"/>
          <w:highlight w:val="none"/>
        </w:rPr>
      </w:pPr>
      <w:r>
        <w:rPr>
          <w:rFonts w:hint="eastAsia" w:ascii="宋体" w:hAnsi="宋体" w:eastAsia="宋体"/>
          <w:color w:val="auto"/>
          <w:spacing w:val="2"/>
          <w:szCs w:val="21"/>
          <w:highlight w:val="none"/>
        </w:rPr>
        <w:t>1.工程地点：</w:t>
      </w:r>
      <w:r>
        <w:rPr>
          <w:rFonts w:hint="eastAsia" w:cs="宋体" w:asciiTheme="minorEastAsia" w:hAnsiTheme="minorEastAsia" w:eastAsiaTheme="minorEastAsia"/>
          <w:color w:val="auto"/>
          <w:szCs w:val="21"/>
          <w:highlight w:val="none"/>
          <w:lang w:eastAsia="zh-CN"/>
        </w:rPr>
        <w:t>常州市</w:t>
      </w:r>
      <w:r>
        <w:rPr>
          <w:rFonts w:hint="eastAsia" w:cs="宋体" w:asciiTheme="minorEastAsia" w:hAnsiTheme="minorEastAsia" w:eastAsiaTheme="minorEastAsia"/>
          <w:color w:val="auto"/>
          <w:szCs w:val="21"/>
          <w:highlight w:val="none"/>
          <w:lang w:val="en-US" w:eastAsia="zh-CN"/>
        </w:rPr>
        <w:t>天宁区</w:t>
      </w:r>
      <w:r>
        <w:rPr>
          <w:rFonts w:hint="eastAsia" w:ascii="宋体" w:hAnsi="宋体"/>
          <w:color w:val="auto"/>
          <w:spacing w:val="2"/>
          <w:szCs w:val="21"/>
          <w:highlight w:val="none"/>
          <w:lang w:val="en-US" w:eastAsia="zh-CN"/>
        </w:rPr>
        <w:t>。</w:t>
      </w:r>
    </w:p>
    <w:p>
      <w:pPr>
        <w:snapToGrid w:val="0"/>
        <w:spacing w:line="360" w:lineRule="exact"/>
        <w:ind w:firstLine="428" w:firstLineChars="200"/>
        <w:rPr>
          <w:rFonts w:hint="eastAsia" w:ascii="宋体" w:hAnsi="宋体" w:eastAsia="宋体"/>
          <w:color w:val="auto"/>
          <w:spacing w:val="2"/>
          <w:szCs w:val="21"/>
          <w:highlight w:val="none"/>
        </w:rPr>
      </w:pPr>
      <w:r>
        <w:rPr>
          <w:rFonts w:hint="eastAsia" w:ascii="宋体" w:hAnsi="宋体" w:eastAsia="宋体"/>
          <w:color w:val="auto"/>
          <w:spacing w:val="2"/>
          <w:szCs w:val="21"/>
          <w:highlight w:val="none"/>
        </w:rPr>
        <w:t>2.质量等级要求：一次性验收合格。</w:t>
      </w:r>
    </w:p>
    <w:p>
      <w:pPr>
        <w:snapToGrid w:val="0"/>
        <w:spacing w:line="360" w:lineRule="exact"/>
        <w:ind w:firstLine="428" w:firstLineChars="200"/>
        <w:rPr>
          <w:rFonts w:hint="eastAsia" w:ascii="宋体" w:hAnsi="宋体" w:eastAsia="宋体"/>
          <w:color w:val="auto"/>
          <w:spacing w:val="2"/>
          <w:szCs w:val="21"/>
          <w:highlight w:val="none"/>
        </w:rPr>
      </w:pPr>
      <w:r>
        <w:rPr>
          <w:rFonts w:hint="eastAsia" w:ascii="宋体" w:hAnsi="宋体" w:eastAsia="宋体"/>
          <w:color w:val="auto"/>
          <w:spacing w:val="2"/>
          <w:szCs w:val="21"/>
          <w:highlight w:val="none"/>
        </w:rPr>
        <w:t>3.工期：</w:t>
      </w:r>
      <w:r>
        <w:rPr>
          <w:rFonts w:hint="eastAsia" w:ascii="宋体" w:hAnsi="宋体"/>
          <w:color w:val="auto"/>
          <w:spacing w:val="2"/>
          <w:szCs w:val="21"/>
          <w:highlight w:val="none"/>
          <w:lang w:val="en-US" w:eastAsia="zh-CN"/>
        </w:rPr>
        <w:t>15</w:t>
      </w:r>
      <w:r>
        <w:rPr>
          <w:rFonts w:hint="eastAsia" w:ascii="宋体" w:hAnsi="宋体" w:eastAsia="宋体"/>
          <w:color w:val="auto"/>
          <w:spacing w:val="2"/>
          <w:szCs w:val="21"/>
          <w:highlight w:val="none"/>
        </w:rPr>
        <w:t>日历日。</w:t>
      </w:r>
    </w:p>
    <w:p>
      <w:pPr>
        <w:snapToGrid w:val="0"/>
        <w:spacing w:line="360" w:lineRule="exact"/>
        <w:ind w:firstLine="428" w:firstLineChars="200"/>
        <w:rPr>
          <w:rFonts w:ascii="宋体" w:hAnsi="宋体" w:eastAsia="宋体"/>
          <w:color w:val="auto"/>
          <w:spacing w:val="2"/>
          <w:szCs w:val="21"/>
          <w:highlight w:val="none"/>
        </w:rPr>
      </w:pPr>
      <w:r>
        <w:rPr>
          <w:rFonts w:hint="eastAsia" w:ascii="宋体" w:hAnsi="宋体" w:eastAsia="宋体"/>
          <w:color w:val="auto"/>
          <w:spacing w:val="2"/>
          <w:szCs w:val="21"/>
          <w:highlight w:val="none"/>
        </w:rPr>
        <w:t>4.</w:t>
      </w:r>
      <w:r>
        <w:rPr>
          <w:rFonts w:hint="eastAsia" w:ascii="宋体" w:hAnsi="宋体" w:cs="Arial"/>
          <w:color w:val="auto"/>
          <w:kern w:val="0"/>
          <w:szCs w:val="21"/>
          <w:highlight w:val="none"/>
        </w:rPr>
        <w:t>本次招标范围：</w:t>
      </w:r>
      <w:r>
        <w:rPr>
          <w:rFonts w:hint="eastAsia" w:ascii="宋体" w:hAnsi="宋体" w:eastAsia="宋体"/>
          <w:color w:val="auto"/>
          <w:spacing w:val="2"/>
          <w:szCs w:val="21"/>
          <w:highlight w:val="none"/>
          <w:lang w:val="en-US" w:eastAsia="zh-CN"/>
        </w:rPr>
        <w:t>工程量清单及图纸范围内的全部工作内容。</w:t>
      </w:r>
    </w:p>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二</w:t>
      </w:r>
      <w:r>
        <w:rPr>
          <w:rFonts w:ascii="宋体" w:hAnsi="宋体" w:cs="宋体"/>
          <w:b/>
          <w:color w:val="auto"/>
          <w:szCs w:val="21"/>
          <w:highlight w:val="none"/>
        </w:rPr>
        <w:t>、</w:t>
      </w:r>
      <w:r>
        <w:rPr>
          <w:rFonts w:hint="eastAsia" w:ascii="宋体" w:hAnsi="宋体" w:cs="宋体"/>
          <w:b/>
          <w:color w:val="auto"/>
          <w:szCs w:val="21"/>
          <w:highlight w:val="none"/>
        </w:rPr>
        <w:t>工程量清单</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15"/>
        <w:gridCol w:w="1290"/>
        <w:gridCol w:w="2460"/>
        <w:gridCol w:w="505"/>
        <w:gridCol w:w="972"/>
        <w:gridCol w:w="747"/>
        <w:gridCol w:w="983"/>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5000" w:type="pct"/>
            <w:gridSpan w:val="8"/>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分部分项工程量清单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449" w:type="pct"/>
            <w:gridSpan w:val="3"/>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工程名称：青竹苑8幢36幢30幢39幢房屋渗水维修</w:t>
            </w:r>
          </w:p>
        </w:tc>
        <w:tc>
          <w:tcPr>
            <w:tcW w:w="1364" w:type="pct"/>
            <w:gridSpan w:val="3"/>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标段：青竹苑8幢36幢30幢39幢房屋渗水维修</w:t>
            </w:r>
          </w:p>
        </w:tc>
        <w:tc>
          <w:tcPr>
            <w:tcW w:w="1186" w:type="pct"/>
            <w:gridSpan w:val="2"/>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序号</w:t>
            </w:r>
          </w:p>
        </w:tc>
        <w:tc>
          <w:tcPr>
            <w:tcW w:w="704"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项目编码</w:t>
            </w:r>
          </w:p>
        </w:tc>
        <w:tc>
          <w:tcPr>
            <w:tcW w:w="1485"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项目名称</w:t>
            </w:r>
          </w:p>
        </w:tc>
        <w:tc>
          <w:tcPr>
            <w:tcW w:w="313"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计量单位</w:t>
            </w:r>
          </w:p>
        </w:tc>
        <w:tc>
          <w:tcPr>
            <w:tcW w:w="593"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工程数量</w:t>
            </w:r>
          </w:p>
        </w:tc>
        <w:tc>
          <w:tcPr>
            <w:tcW w:w="1643" w:type="pct"/>
            <w:gridSpan w:val="3"/>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704"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1485"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313"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3"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综合单价</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合价</w:t>
            </w:r>
          </w:p>
        </w:tc>
        <w:tc>
          <w:tcPr>
            <w:tcW w:w="58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其中:暂估价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1</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青竹苑8幢整东外墙渗水</w:t>
            </w:r>
          </w:p>
        </w:tc>
        <w:tc>
          <w:tcPr>
            <w:tcW w:w="31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23935.37</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011608002001</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铲除涂料面【铲除墙面腻子、涂料】</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m2</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462.72</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4.26</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1971.19</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010903002001</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墙面涂膜防水【外墙:1.5厚水泥基渗透结晶 防水材料 二遍】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462.72</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21.55</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9971.62</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011406001001</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抹灰面油漆【外墙批腻子粉、刷乳胶漆各2遍】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462.72</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23</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10642.56</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011610002001</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金属门窗拆 除【窗户渗水维修;尺寸:1.4*0.8】</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150</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1350</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2</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36幢甲701外墙渗水</w:t>
            </w:r>
          </w:p>
        </w:tc>
        <w:tc>
          <w:tcPr>
            <w:tcW w:w="31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4907.24</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5</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011608002002</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铲除涂料面【铲除墙面腻子、涂料】</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m2</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63.66</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4.26</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271.19</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010903002002</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墙面涂膜防水【外墙:1.5厚水泥基渗透结晶 防水材料 二遍】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63.66</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21.55</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1371.87</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011406001002</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抹灰面油漆【外墙批腻子粉、刷乳胶漆各2遍】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63.66</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23</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1464.18</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011610002002</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金属门窗拆 除【窗户渗水维修,尺寸:1.2*1.5*2樘+1.7*1.8*4樘】</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300</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1800</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3</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青竹苑30丁501外墙渗水</w:t>
            </w:r>
          </w:p>
        </w:tc>
        <w:tc>
          <w:tcPr>
            <w:tcW w:w="31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885.72</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011608002003</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铲除涂料面【铲除墙面腻子、涂料】</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m2</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4.26</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51.12</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010903002003</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墙面涂膜防水【外墙:1.5厚水泥基渗透结晶 防水材料 二遍】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21.55</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258.6</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011406001003</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抹灰面油漆【外墙批腻子粉、刷乳胶漆各2遍】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23</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276</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011610002003</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金属门窗拆 除【窗户渗水维修,尺寸:1.7*1.8】</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樘</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300</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300</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4</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青竹苑39幢甲乙翼墙外墙渗水</w:t>
            </w:r>
          </w:p>
        </w:tc>
        <w:tc>
          <w:tcPr>
            <w:tcW w:w="31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23838.8</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13</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011608002004</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铲除涂料面【铲除墙面腻子、涂料】</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m2</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488.4</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4.26</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2080.58</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14</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010903002004</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墙面涂膜防水【外墙:1.5厚水泥基渗透结晶 防水材料 二遍】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488.4</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21.55</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10525.02</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15</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011406001004</w:t>
            </w: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抹灰面油漆【外墙批腻子粉、刷乳胶漆各2遍】</w:t>
            </w:r>
          </w:p>
        </w:tc>
        <w:tc>
          <w:tcPr>
            <w:tcW w:w="31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488.4</w:t>
            </w:r>
          </w:p>
        </w:tc>
        <w:tc>
          <w:tcPr>
            <w:tcW w:w="4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23</w:t>
            </w: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11233.2</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59"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70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148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    计</w:t>
            </w:r>
          </w:p>
        </w:tc>
        <w:tc>
          <w:tcPr>
            <w:tcW w:w="31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53567.13</w:t>
            </w:r>
          </w:p>
        </w:tc>
        <w:tc>
          <w:tcPr>
            <w:tcW w:w="58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r>
    </w:tbl>
    <w:p>
      <w:pPr>
        <w:snapToGrid w:val="0"/>
        <w:spacing w:line="360" w:lineRule="exact"/>
        <w:ind w:firstLine="430" w:firstLineChars="200"/>
        <w:rPr>
          <w:rFonts w:hint="eastAsia" w:ascii="宋体" w:hAnsi="宋体" w:eastAsia="宋体" w:cs="Times New Roman"/>
          <w:b/>
          <w:bCs/>
          <w:color w:val="auto"/>
          <w:spacing w:val="2"/>
          <w:szCs w:val="21"/>
          <w:highlight w:val="none"/>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16"/>
        <w:gridCol w:w="1290"/>
        <w:gridCol w:w="2444"/>
        <w:gridCol w:w="508"/>
        <w:gridCol w:w="980"/>
        <w:gridCol w:w="744"/>
        <w:gridCol w:w="981"/>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5000" w:type="pct"/>
            <w:gridSpan w:val="8"/>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单价措施项目清单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440" w:type="pct"/>
            <w:gridSpan w:val="3"/>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工程名称：青竹苑8幢36幢30幢39幢房屋渗水维修</w:t>
            </w:r>
          </w:p>
        </w:tc>
        <w:tc>
          <w:tcPr>
            <w:tcW w:w="1369" w:type="pct"/>
            <w:gridSpan w:val="3"/>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标段：青竹苑8幢36幢30幢39幢房屋渗水维修</w:t>
            </w:r>
          </w:p>
        </w:tc>
        <w:tc>
          <w:tcPr>
            <w:tcW w:w="1190" w:type="pct"/>
            <w:gridSpan w:val="2"/>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60"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序号</w:t>
            </w:r>
          </w:p>
        </w:tc>
        <w:tc>
          <w:tcPr>
            <w:tcW w:w="704"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项目编码</w:t>
            </w:r>
          </w:p>
        </w:tc>
        <w:tc>
          <w:tcPr>
            <w:tcW w:w="1474"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项目名称</w:t>
            </w:r>
          </w:p>
        </w:tc>
        <w:tc>
          <w:tcPr>
            <w:tcW w:w="315"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计量单位</w:t>
            </w:r>
          </w:p>
        </w:tc>
        <w:tc>
          <w:tcPr>
            <w:tcW w:w="598" w:type="pct"/>
            <w:vMerge w:val="restar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工程数量</w:t>
            </w:r>
          </w:p>
        </w:tc>
        <w:tc>
          <w:tcPr>
            <w:tcW w:w="1646" w:type="pct"/>
            <w:gridSpan w:val="3"/>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60"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704"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1474"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315"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8"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45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综合单价</w:t>
            </w:r>
          </w:p>
        </w:tc>
        <w:tc>
          <w:tcPr>
            <w:tcW w:w="5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合价</w:t>
            </w:r>
          </w:p>
        </w:tc>
        <w:tc>
          <w:tcPr>
            <w:tcW w:w="59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其中:暂估价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60"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70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011701008001</w:t>
            </w:r>
          </w:p>
        </w:tc>
        <w:tc>
          <w:tcPr>
            <w:tcW w:w="147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外装饰吊蓝【悬空脚手架】</w:t>
            </w:r>
          </w:p>
        </w:tc>
        <w:tc>
          <w:tcPr>
            <w:tcW w:w="31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m2</w:t>
            </w:r>
          </w:p>
        </w:tc>
        <w:tc>
          <w:tcPr>
            <w:tcW w:w="5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1026.78</w:t>
            </w:r>
          </w:p>
        </w:tc>
        <w:tc>
          <w:tcPr>
            <w:tcW w:w="45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6.95</w:t>
            </w:r>
          </w:p>
        </w:tc>
        <w:tc>
          <w:tcPr>
            <w:tcW w:w="5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7136.12</w:t>
            </w:r>
          </w:p>
        </w:tc>
        <w:tc>
          <w:tcPr>
            <w:tcW w:w="59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6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70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147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    计</w:t>
            </w:r>
          </w:p>
        </w:tc>
        <w:tc>
          <w:tcPr>
            <w:tcW w:w="31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i w:val="0"/>
                <w:color w:val="auto"/>
                <w:sz w:val="21"/>
                <w:szCs w:val="21"/>
                <w:highlight w:val="none"/>
                <w:u w:val="none"/>
              </w:rPr>
            </w:pPr>
          </w:p>
        </w:tc>
        <w:tc>
          <w:tcPr>
            <w:tcW w:w="598"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5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7136.12</w:t>
            </w:r>
          </w:p>
        </w:tc>
        <w:tc>
          <w:tcPr>
            <w:tcW w:w="59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r>
    </w:tbl>
    <w:p>
      <w:pPr>
        <w:snapToGrid w:val="0"/>
        <w:spacing w:line="360" w:lineRule="exact"/>
        <w:ind w:firstLine="430" w:firstLineChars="200"/>
        <w:rPr>
          <w:rFonts w:hint="eastAsia" w:ascii="宋体" w:hAnsi="宋体" w:eastAsia="宋体" w:cs="Times New Roman"/>
          <w:b/>
          <w:bCs/>
          <w:color w:val="auto"/>
          <w:spacing w:val="2"/>
          <w:szCs w:val="21"/>
          <w:highlight w:val="none"/>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97"/>
        <w:gridCol w:w="1290"/>
        <w:gridCol w:w="943"/>
        <w:gridCol w:w="2235"/>
        <w:gridCol w:w="555"/>
        <w:gridCol w:w="765"/>
        <w:gridCol w:w="745"/>
        <w:gridCol w:w="752"/>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5000" w:type="pct"/>
            <w:gridSpan w:val="9"/>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总价措施项目清单与计价表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4013" w:type="pct"/>
            <w:gridSpan w:val="7"/>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工程名称：青竹苑8幢36幢30幢39幢房屋渗水维修</w:t>
            </w:r>
          </w:p>
        </w:tc>
        <w:tc>
          <w:tcPr>
            <w:tcW w:w="986" w:type="pct"/>
            <w:gridSpan w:val="2"/>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序号</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项目编码</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项目名称</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计算基础</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 xml:space="preserve">费率 </w:t>
            </w:r>
            <w:r>
              <w:rPr>
                <w:rFonts w:hint="eastAsia" w:asciiTheme="minorEastAsia" w:hAnsiTheme="minorEastAsia" w:eastAsiaTheme="minorEastAsia" w:cstheme="minorEastAsia"/>
                <w:b/>
                <w:i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i w:val="0"/>
                <w:color w:val="auto"/>
                <w:kern w:val="0"/>
                <w:sz w:val="21"/>
                <w:szCs w:val="21"/>
                <w:highlight w:val="none"/>
                <w:u w:val="none"/>
                <w:lang w:val="en-US" w:eastAsia="zh-CN" w:bidi="ar"/>
              </w:rPr>
              <w:t>(%)</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 xml:space="preserve">金额 </w:t>
            </w:r>
            <w:r>
              <w:rPr>
                <w:rFonts w:hint="eastAsia" w:asciiTheme="minorEastAsia" w:hAnsiTheme="minorEastAsia" w:eastAsiaTheme="minorEastAsia" w:cstheme="minorEastAsia"/>
                <w:b/>
                <w:i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i w:val="0"/>
                <w:color w:val="auto"/>
                <w:kern w:val="0"/>
                <w:sz w:val="21"/>
                <w:szCs w:val="21"/>
                <w:highlight w:val="none"/>
                <w:u w:val="none"/>
                <w:lang w:val="en-US" w:eastAsia="zh-CN" w:bidi="ar"/>
              </w:rPr>
              <w:t>(元)</w:t>
            </w:r>
          </w:p>
        </w:tc>
        <w:tc>
          <w:tcPr>
            <w:tcW w:w="494"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 xml:space="preserve">调整费率 </w:t>
            </w:r>
            <w:r>
              <w:rPr>
                <w:rFonts w:hint="eastAsia" w:asciiTheme="minorEastAsia" w:hAnsiTheme="minorEastAsia" w:eastAsiaTheme="minorEastAsia" w:cstheme="minorEastAsia"/>
                <w:b/>
                <w:i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i w:val="0"/>
                <w:color w:val="auto"/>
                <w:kern w:val="0"/>
                <w:sz w:val="21"/>
                <w:szCs w:val="21"/>
                <w:highlight w:val="none"/>
                <w:u w:val="none"/>
                <w:lang w:val="en-US" w:eastAsia="zh-CN" w:bidi="ar"/>
              </w:rPr>
              <w:t>(%)</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 xml:space="preserve">调整后金额 </w:t>
            </w:r>
            <w:r>
              <w:rPr>
                <w:rFonts w:hint="eastAsia" w:asciiTheme="minorEastAsia" w:hAnsiTheme="minorEastAsia" w:eastAsiaTheme="minorEastAsia" w:cstheme="minorEastAsia"/>
                <w:b/>
                <w:i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i w:val="0"/>
                <w:color w:val="auto"/>
                <w:kern w:val="0"/>
                <w:sz w:val="21"/>
                <w:szCs w:val="21"/>
                <w:highlight w:val="none"/>
                <w:u w:val="none"/>
                <w:lang w:val="en-US" w:eastAsia="zh-CN" w:bidi="ar"/>
              </w:rPr>
              <w:t>(元)</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011707001001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安全文明施工</w:t>
            </w:r>
          </w:p>
        </w:tc>
        <w:tc>
          <w:tcPr>
            <w:tcW w:w="138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100%</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2069.98</w:t>
            </w: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基本费</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3.1%</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1881.8</w:t>
            </w: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扬尘污染防治增加费</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0.31%</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188.18</w:t>
            </w: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011707002001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夜间施工</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011707003001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非夜间施工</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011707005001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冬雨季施工</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5</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011707007001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已完工程及设备保护</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011707006001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地上、地下设施、建筑物的临时保护设施</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7</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011707008001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临时设施</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2.00%</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1214.07</w:t>
            </w: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8</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011707009001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赶工措施</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011707010001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工程按质论价</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011707011001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住宅分户验收</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011707012001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建筑工人实名制费用</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0.05%</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30.35</w:t>
            </w: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011707015001</w:t>
            </w: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智慧工地费用</w:t>
            </w:r>
          </w:p>
        </w:tc>
        <w:tc>
          <w:tcPr>
            <w:tcW w:w="138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分部分项工程费+单价措施项目费-工程设备费</w:t>
            </w:r>
          </w:p>
        </w:tc>
        <w:tc>
          <w:tcPr>
            <w:tcW w:w="31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22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60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    计</w:t>
            </w:r>
          </w:p>
        </w:tc>
        <w:tc>
          <w:tcPr>
            <w:tcW w:w="138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318"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3314.4</w:t>
            </w:r>
          </w:p>
        </w:tc>
        <w:tc>
          <w:tcPr>
            <w:tcW w:w="494"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4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r>
    </w:tbl>
    <w:p>
      <w:pPr>
        <w:keepNext w:val="0"/>
        <w:keepLines w:val="0"/>
        <w:pageBreakBefore w:val="0"/>
        <w:widowControl w:val="0"/>
        <w:kinsoku/>
        <w:wordWrap/>
        <w:overflowPunct/>
        <w:topLinePunct w:val="0"/>
        <w:autoSpaceDE w:val="0"/>
        <w:autoSpaceDN w:val="0"/>
        <w:bidi w:val="0"/>
        <w:adjustRightInd w:val="0"/>
        <w:snapToGrid/>
        <w:spacing w:line="360" w:lineRule="exact"/>
        <w:ind w:right="0" w:firstLine="420" w:firstLineChars="200"/>
        <w:jc w:val="left"/>
        <w:textAlignment w:val="auto"/>
        <w:outlineLvl w:val="9"/>
        <w:rPr>
          <w:rFonts w:hint="eastAsia" w:ascii="宋体" w:hAnsi="宋体" w:cs="宋体"/>
          <w:b w:val="0"/>
          <w:bCs/>
          <w:color w:val="auto"/>
          <w:szCs w:val="21"/>
          <w:highlight w:val="none"/>
          <w:lang w:val="en-US" w:eastAsia="zh-CN"/>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01"/>
        <w:gridCol w:w="3498"/>
        <w:gridCol w:w="1084"/>
        <w:gridCol w:w="1931"/>
        <w:gridCol w:w="1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5000" w:type="pct"/>
            <w:gridSpan w:val="5"/>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其他项目清单与计价汇总表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387" w:type="pct"/>
            <w:gridSpan w:val="4"/>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工程名称：青竹苑8幢36幢30幢39幢房屋渗水维修</w:t>
            </w:r>
          </w:p>
        </w:tc>
        <w:tc>
          <w:tcPr>
            <w:tcW w:w="612"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第页共页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序号</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项目名称</w:t>
            </w:r>
          </w:p>
        </w:tc>
        <w:tc>
          <w:tcPr>
            <w:tcW w:w="650"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金额(元)</w:t>
            </w:r>
          </w:p>
        </w:tc>
        <w:tc>
          <w:tcPr>
            <w:tcW w:w="1157"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结算金额(元)</w:t>
            </w:r>
          </w:p>
        </w:tc>
        <w:tc>
          <w:tcPr>
            <w:tcW w:w="612"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暂列金额</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暂估价</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2.1</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材料暂估价</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2.2</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专业工程暂估价</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计日工</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总承包服务费</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48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2098"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    计</w:t>
            </w:r>
          </w:p>
        </w:tc>
        <w:tc>
          <w:tcPr>
            <w:tcW w:w="650"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1157"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61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r>
    </w:tbl>
    <w:p>
      <w:pPr>
        <w:snapToGrid w:val="0"/>
        <w:spacing w:line="360" w:lineRule="exact"/>
        <w:ind w:firstLine="430" w:firstLineChars="200"/>
        <w:rPr>
          <w:rFonts w:hint="eastAsia" w:ascii="宋体" w:hAnsi="宋体" w:eastAsia="宋体" w:cs="Times New Roman"/>
          <w:b/>
          <w:bCs/>
          <w:color w:val="auto"/>
          <w:spacing w:val="2"/>
          <w:szCs w:val="21"/>
          <w:highlight w:val="none"/>
        </w:r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26"/>
        <w:gridCol w:w="1449"/>
        <w:gridCol w:w="3756"/>
        <w:gridCol w:w="992"/>
        <w:gridCol w:w="619"/>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5000" w:type="pct"/>
            <w:gridSpan w:val="6"/>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规费、税金项目计价表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4033" w:type="pct"/>
            <w:gridSpan w:val="4"/>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工程名称：青竹苑8幢36幢30幢39幢房屋渗水维修</w:t>
            </w:r>
          </w:p>
        </w:tc>
        <w:tc>
          <w:tcPr>
            <w:tcW w:w="966" w:type="pct"/>
            <w:gridSpan w:val="2"/>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序号</w:t>
            </w: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项目名称</w:t>
            </w:r>
          </w:p>
        </w:tc>
        <w:tc>
          <w:tcPr>
            <w:tcW w:w="225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计算基础</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计算基数</w:t>
            </w:r>
          </w:p>
        </w:tc>
        <w:tc>
          <w:tcPr>
            <w:tcW w:w="37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 xml:space="preserve">计算费率 </w:t>
            </w:r>
            <w:r>
              <w:rPr>
                <w:rFonts w:hint="eastAsia" w:asciiTheme="minorEastAsia" w:hAnsiTheme="minorEastAsia" w:eastAsiaTheme="minorEastAsia" w:cstheme="minorEastAsia"/>
                <w:b/>
                <w:i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i w:val="0"/>
                <w:color w:val="auto"/>
                <w:kern w:val="0"/>
                <w:sz w:val="21"/>
                <w:szCs w:val="21"/>
                <w:highlight w:val="none"/>
                <w:u w:val="none"/>
                <w:lang w:val="en-US" w:eastAsia="zh-CN" w:bidi="ar"/>
              </w:rPr>
              <w:t>(%)</w:t>
            </w:r>
          </w:p>
        </w:tc>
        <w:tc>
          <w:tcPr>
            <w:tcW w:w="59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规费</w:t>
            </w:r>
          </w:p>
        </w:tc>
        <w:tc>
          <w:tcPr>
            <w:tcW w:w="225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[1.1]+[1.2]+[1.3]</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2861.59</w:t>
            </w:r>
          </w:p>
        </w:tc>
        <w:tc>
          <w:tcPr>
            <w:tcW w:w="37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100%</w:t>
            </w:r>
          </w:p>
        </w:tc>
        <w:tc>
          <w:tcPr>
            <w:tcW w:w="59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2861.59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1.1</w:t>
            </w: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社会保险费</w:t>
            </w:r>
          </w:p>
        </w:tc>
        <w:tc>
          <w:tcPr>
            <w:tcW w:w="225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分部分项工程费+措施项目费+其他项目费-工程设备费</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64017.65</w:t>
            </w:r>
          </w:p>
        </w:tc>
        <w:tc>
          <w:tcPr>
            <w:tcW w:w="37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3.8%</w:t>
            </w:r>
          </w:p>
        </w:tc>
        <w:tc>
          <w:tcPr>
            <w:tcW w:w="59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2432.67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1.2</w:t>
            </w: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住房公积金</w:t>
            </w:r>
          </w:p>
        </w:tc>
        <w:tc>
          <w:tcPr>
            <w:tcW w:w="225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分部分项工程费+措施项目费+其他项目费-工程设备费</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64017.65</w:t>
            </w:r>
          </w:p>
        </w:tc>
        <w:tc>
          <w:tcPr>
            <w:tcW w:w="37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0.67%</w:t>
            </w:r>
          </w:p>
        </w:tc>
        <w:tc>
          <w:tcPr>
            <w:tcW w:w="59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428.92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1.3</w:t>
            </w: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环境保护税</w:t>
            </w:r>
          </w:p>
        </w:tc>
        <w:tc>
          <w:tcPr>
            <w:tcW w:w="225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分部分项工程费+措施项目费+其他项目费-工程设备费</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64017.65</w:t>
            </w:r>
          </w:p>
        </w:tc>
        <w:tc>
          <w:tcPr>
            <w:tcW w:w="37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0%</w:t>
            </w:r>
          </w:p>
        </w:tc>
        <w:tc>
          <w:tcPr>
            <w:tcW w:w="59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i w:val="0"/>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税金</w:t>
            </w:r>
          </w:p>
        </w:tc>
        <w:tc>
          <w:tcPr>
            <w:tcW w:w="225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分部分项工程费+措施项目费+其他项目费+规费-(甲供材料费+甲供设备费)/1.01</w:t>
            </w:r>
          </w:p>
        </w:tc>
        <w:tc>
          <w:tcPr>
            <w:tcW w:w="593"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66879.24</w:t>
            </w:r>
          </w:p>
        </w:tc>
        <w:tc>
          <w:tcPr>
            <w:tcW w:w="371"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9%</w:t>
            </w:r>
          </w:p>
        </w:tc>
        <w:tc>
          <w:tcPr>
            <w:tcW w:w="59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6019.13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1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869"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合    计</w:t>
            </w:r>
          </w:p>
        </w:tc>
        <w:tc>
          <w:tcPr>
            <w:tcW w:w="225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Theme="minorEastAsia" w:hAnsiTheme="minorEastAsia" w:eastAsiaTheme="minorEastAsia" w:cstheme="minorEastAsia"/>
                <w:b/>
                <w:i w:val="0"/>
                <w:color w:val="auto"/>
                <w:sz w:val="21"/>
                <w:szCs w:val="21"/>
                <w:highlight w:val="none"/>
                <w:u w:val="none"/>
              </w:rPr>
            </w:pPr>
          </w:p>
        </w:tc>
        <w:tc>
          <w:tcPr>
            <w:tcW w:w="59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371"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eastAsia" w:asciiTheme="minorEastAsia" w:hAnsiTheme="minorEastAsia" w:eastAsiaTheme="minorEastAsia" w:cstheme="minorEastAsia"/>
                <w:b/>
                <w:i w:val="0"/>
                <w:color w:val="auto"/>
                <w:sz w:val="21"/>
                <w:szCs w:val="21"/>
                <w:highlight w:val="none"/>
                <w:u w:val="none"/>
              </w:rPr>
            </w:pPr>
          </w:p>
        </w:tc>
        <w:tc>
          <w:tcPr>
            <w:tcW w:w="595" w:type="pct"/>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Theme="minorEastAsia" w:hAnsiTheme="minorEastAsia" w:eastAsiaTheme="minorEastAsia" w:cstheme="minorEastAsia"/>
                <w:b/>
                <w:i w:val="0"/>
                <w:color w:val="auto"/>
                <w:sz w:val="21"/>
                <w:szCs w:val="21"/>
                <w:highlight w:val="none"/>
                <w:u w:val="none"/>
              </w:rPr>
            </w:pPr>
            <w:r>
              <w:rPr>
                <w:rFonts w:hint="eastAsia" w:asciiTheme="minorEastAsia" w:hAnsiTheme="minorEastAsia" w:eastAsiaTheme="minorEastAsia" w:cstheme="minorEastAsia"/>
                <w:b/>
                <w:i w:val="0"/>
                <w:color w:val="auto"/>
                <w:kern w:val="0"/>
                <w:sz w:val="21"/>
                <w:szCs w:val="21"/>
                <w:highlight w:val="none"/>
                <w:u w:val="none"/>
                <w:lang w:val="en-US" w:eastAsia="zh-CN" w:bidi="ar"/>
              </w:rPr>
              <w:t>8880.72</w:t>
            </w:r>
          </w:p>
        </w:tc>
      </w:tr>
    </w:tbl>
    <w:p>
      <w:pPr>
        <w:spacing w:line="380" w:lineRule="exact"/>
        <w:ind w:right="210"/>
        <w:jc w:val="left"/>
        <w:rPr>
          <w:rFonts w:ascii="宋体" w:hAnsi="宋体" w:cs="宋体"/>
          <w:b/>
          <w:color w:val="auto"/>
          <w:szCs w:val="21"/>
          <w:highlight w:val="none"/>
        </w:rPr>
      </w:pPr>
      <w:r>
        <w:rPr>
          <w:rFonts w:hint="eastAsia" w:ascii="宋体" w:hAnsi="宋体" w:cs="宋体"/>
          <w:b/>
          <w:color w:val="auto"/>
          <w:szCs w:val="21"/>
          <w:highlight w:val="none"/>
        </w:rPr>
        <w:t>三</w:t>
      </w:r>
      <w:r>
        <w:rPr>
          <w:rFonts w:ascii="宋体" w:hAnsi="宋体" w:cs="宋体"/>
          <w:b/>
          <w:color w:val="auto"/>
          <w:szCs w:val="21"/>
          <w:highlight w:val="none"/>
        </w:rPr>
        <w:t>、付款方式</w:t>
      </w:r>
    </w:p>
    <w:p>
      <w:pPr>
        <w:snapToGrid w:val="0"/>
        <w:spacing w:line="360" w:lineRule="exact"/>
        <w:ind w:firstLine="428" w:firstLineChars="200"/>
        <w:rPr>
          <w:rFonts w:hint="eastAsia" w:ascii="宋体" w:hAnsi="宋体" w:eastAsia="宋体" w:cs="Times New Roman"/>
          <w:color w:val="auto"/>
          <w:spacing w:val="2"/>
          <w:szCs w:val="21"/>
          <w:highlight w:val="none"/>
          <w:lang w:val="en-US" w:eastAsia="zh-CN"/>
        </w:rPr>
      </w:pPr>
      <w:r>
        <w:rPr>
          <w:rFonts w:hint="eastAsia" w:ascii="宋体" w:hAnsi="宋体" w:eastAsia="宋体" w:cs="Times New Roman"/>
          <w:color w:val="auto"/>
          <w:spacing w:val="2"/>
          <w:szCs w:val="21"/>
          <w:highlight w:val="none"/>
        </w:rPr>
        <w:t>施工完毕经</w:t>
      </w:r>
      <w:r>
        <w:rPr>
          <w:rFonts w:hint="eastAsia" w:ascii="宋体" w:hAnsi="宋体" w:cs="Times New Roman"/>
          <w:color w:val="auto"/>
          <w:spacing w:val="2"/>
          <w:szCs w:val="21"/>
          <w:highlight w:val="none"/>
          <w:lang w:eastAsia="zh-CN"/>
        </w:rPr>
        <w:t>采购人</w:t>
      </w:r>
      <w:r>
        <w:rPr>
          <w:rFonts w:hint="eastAsia" w:ascii="宋体" w:hAnsi="宋体" w:eastAsia="宋体" w:cs="Times New Roman"/>
          <w:color w:val="auto"/>
          <w:spacing w:val="2"/>
          <w:szCs w:val="21"/>
          <w:highlight w:val="none"/>
        </w:rPr>
        <w:t>验收合格并审计后，由</w:t>
      </w:r>
      <w:r>
        <w:rPr>
          <w:rFonts w:hint="eastAsia" w:ascii="宋体" w:hAnsi="宋体" w:cs="Times New Roman"/>
          <w:color w:val="auto"/>
          <w:spacing w:val="2"/>
          <w:szCs w:val="21"/>
          <w:highlight w:val="none"/>
          <w:lang w:eastAsia="zh-CN"/>
        </w:rPr>
        <w:t>采购人</w:t>
      </w:r>
      <w:r>
        <w:rPr>
          <w:rFonts w:hint="eastAsia" w:ascii="宋体" w:hAnsi="宋体" w:eastAsia="宋体" w:cs="Times New Roman"/>
          <w:color w:val="auto"/>
          <w:spacing w:val="2"/>
          <w:szCs w:val="21"/>
          <w:highlight w:val="none"/>
        </w:rPr>
        <w:t>向</w:t>
      </w:r>
      <w:r>
        <w:rPr>
          <w:rFonts w:hint="eastAsia" w:ascii="宋体" w:hAnsi="宋体" w:cs="Times New Roman"/>
          <w:color w:val="auto"/>
          <w:spacing w:val="2"/>
          <w:szCs w:val="21"/>
          <w:highlight w:val="none"/>
          <w:lang w:eastAsia="zh-CN"/>
        </w:rPr>
        <w:t>成交人</w:t>
      </w:r>
      <w:r>
        <w:rPr>
          <w:rFonts w:hint="eastAsia" w:ascii="宋体" w:hAnsi="宋体" w:eastAsia="宋体" w:cs="Times New Roman"/>
          <w:color w:val="auto"/>
          <w:spacing w:val="2"/>
          <w:szCs w:val="21"/>
          <w:highlight w:val="none"/>
        </w:rPr>
        <w:t>支付审定价的9</w:t>
      </w:r>
      <w:r>
        <w:rPr>
          <w:rFonts w:hint="eastAsia" w:ascii="宋体" w:hAnsi="宋体" w:cs="Times New Roman"/>
          <w:color w:val="auto"/>
          <w:spacing w:val="2"/>
          <w:szCs w:val="21"/>
          <w:highlight w:val="none"/>
          <w:lang w:val="en-US" w:eastAsia="zh-CN"/>
        </w:rPr>
        <w:t>5</w:t>
      </w:r>
      <w:r>
        <w:rPr>
          <w:rFonts w:hint="eastAsia" w:ascii="宋体" w:hAnsi="宋体" w:eastAsia="宋体" w:cs="Times New Roman"/>
          <w:color w:val="auto"/>
          <w:spacing w:val="2"/>
          <w:szCs w:val="21"/>
          <w:highlight w:val="none"/>
        </w:rPr>
        <w:t>%，余款</w:t>
      </w:r>
      <w:r>
        <w:rPr>
          <w:rFonts w:hint="eastAsia" w:ascii="宋体" w:hAnsi="宋体" w:cs="Times New Roman"/>
          <w:color w:val="auto"/>
          <w:spacing w:val="2"/>
          <w:szCs w:val="21"/>
          <w:highlight w:val="none"/>
          <w:lang w:val="en-US" w:eastAsia="zh-CN"/>
        </w:rPr>
        <w:t>5</w:t>
      </w:r>
      <w:r>
        <w:rPr>
          <w:rFonts w:hint="eastAsia" w:ascii="宋体" w:hAnsi="宋体" w:eastAsia="宋体" w:cs="Times New Roman"/>
          <w:color w:val="auto"/>
          <w:spacing w:val="2"/>
          <w:szCs w:val="21"/>
          <w:highlight w:val="none"/>
        </w:rPr>
        <w:t>%作为质保金，质保期结束后无质量问题，</w:t>
      </w:r>
      <w:r>
        <w:rPr>
          <w:rFonts w:hint="eastAsia" w:ascii="宋体" w:hAnsi="宋体" w:cs="Times New Roman"/>
          <w:color w:val="auto"/>
          <w:spacing w:val="2"/>
          <w:szCs w:val="21"/>
          <w:highlight w:val="none"/>
          <w:lang w:eastAsia="zh-CN"/>
        </w:rPr>
        <w:t>采购人</w:t>
      </w:r>
      <w:r>
        <w:rPr>
          <w:rFonts w:hint="eastAsia" w:ascii="宋体" w:hAnsi="宋体" w:eastAsia="宋体" w:cs="Times New Roman"/>
          <w:color w:val="auto"/>
          <w:spacing w:val="2"/>
          <w:szCs w:val="21"/>
          <w:highlight w:val="none"/>
        </w:rPr>
        <w:t>将在一周内向</w:t>
      </w:r>
      <w:r>
        <w:rPr>
          <w:rFonts w:hint="eastAsia" w:ascii="宋体" w:hAnsi="宋体" w:cs="Times New Roman"/>
          <w:color w:val="auto"/>
          <w:spacing w:val="2"/>
          <w:szCs w:val="21"/>
          <w:highlight w:val="none"/>
          <w:lang w:eastAsia="zh-CN"/>
        </w:rPr>
        <w:t>成交人</w:t>
      </w:r>
      <w:r>
        <w:rPr>
          <w:rFonts w:hint="eastAsia" w:ascii="宋体" w:hAnsi="宋体" w:eastAsia="宋体" w:cs="Times New Roman"/>
          <w:color w:val="auto"/>
          <w:spacing w:val="2"/>
          <w:szCs w:val="21"/>
          <w:highlight w:val="none"/>
        </w:rPr>
        <w:t>支付剩余款项。</w:t>
      </w:r>
    </w:p>
    <w:p>
      <w:pPr>
        <w:snapToGrid w:val="0"/>
        <w:spacing w:line="360" w:lineRule="exact"/>
        <w:ind w:firstLine="428" w:firstLineChars="200"/>
        <w:rPr>
          <w:rFonts w:hint="eastAsia" w:ascii="宋体" w:hAnsi="宋体" w:eastAsia="宋体" w:cs="Times New Roman"/>
          <w:color w:val="auto"/>
          <w:spacing w:val="2"/>
          <w:szCs w:val="21"/>
          <w:highlight w:val="none"/>
          <w:lang w:val="en-US" w:eastAsia="zh-CN"/>
        </w:rPr>
        <w:sectPr>
          <w:footerReference r:id="rId7"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ind w:firstLine="211" w:firstLineChars="100"/>
        <w:rPr>
          <w:rFonts w:cs="宋体"/>
          <w:color w:val="auto"/>
          <w:sz w:val="21"/>
          <w:highlight w:val="none"/>
        </w:rPr>
      </w:pPr>
      <w:r>
        <w:rPr>
          <w:rFonts w:hint="eastAsia" w:cs="宋体"/>
          <w:b/>
          <w:color w:val="auto"/>
          <w:sz w:val="21"/>
          <w:highlight w:val="none"/>
          <w:lang w:val="zh-CN"/>
        </w:rPr>
        <w:t>采购人</w:t>
      </w:r>
      <w:r>
        <w:rPr>
          <w:rFonts w:cs="宋体"/>
          <w:b/>
          <w:color w:val="auto"/>
          <w:sz w:val="21"/>
          <w:highlight w:val="none"/>
          <w:lang w:val="zh-CN"/>
        </w:rPr>
        <w:t>（</w:t>
      </w:r>
      <w:r>
        <w:rPr>
          <w:rFonts w:hint="eastAsia" w:cs="宋体"/>
          <w:b/>
          <w:color w:val="auto"/>
          <w:sz w:val="21"/>
          <w:highlight w:val="none"/>
          <w:lang w:val="zh-CN"/>
        </w:rPr>
        <w:t>以下</w:t>
      </w:r>
      <w:r>
        <w:rPr>
          <w:rFonts w:cs="宋体"/>
          <w:b/>
          <w:color w:val="auto"/>
          <w:sz w:val="21"/>
          <w:highlight w:val="none"/>
          <w:lang w:val="zh-CN"/>
        </w:rPr>
        <w:t>称</w:t>
      </w:r>
      <w:r>
        <w:rPr>
          <w:rFonts w:hint="eastAsia" w:cs="宋体"/>
          <w:b/>
          <w:color w:val="auto"/>
          <w:sz w:val="21"/>
          <w:highlight w:val="none"/>
          <w:lang w:val="zh-CN"/>
        </w:rPr>
        <w:t>甲</w:t>
      </w:r>
      <w:r>
        <w:rPr>
          <w:rFonts w:hint="eastAsia" w:cs="宋体"/>
          <w:b/>
          <w:color w:val="auto"/>
          <w:sz w:val="21"/>
          <w:highlight w:val="none"/>
        </w:rPr>
        <w:t xml:space="preserve">方）: </w:t>
      </w:r>
      <w:r>
        <w:rPr>
          <w:rFonts w:cs="宋体"/>
          <w:b/>
          <w:color w:val="auto"/>
          <w:sz w:val="21"/>
          <w:highlight w:val="none"/>
        </w:rPr>
        <w:t xml:space="preserve">                      </w:t>
      </w:r>
      <w:r>
        <w:rPr>
          <w:rFonts w:hint="eastAsia" w:cs="宋体"/>
          <w:color w:val="auto"/>
          <w:sz w:val="21"/>
          <w:highlight w:val="none"/>
        </w:rPr>
        <w:t>合同编号：</w:t>
      </w:r>
    </w:p>
    <w:p>
      <w:pPr>
        <w:pStyle w:val="6"/>
        <w:keepNext w:val="0"/>
        <w:keepLines w:val="0"/>
        <w:pageBreakBefore w:val="0"/>
        <w:widowControl w:val="0"/>
        <w:kinsoku/>
        <w:wordWrap/>
        <w:overflowPunct/>
        <w:topLinePunct w:val="0"/>
        <w:autoSpaceDE/>
        <w:autoSpaceDN/>
        <w:bidi w:val="0"/>
        <w:adjustRightInd/>
        <w:snapToGrid/>
        <w:spacing w:line="360" w:lineRule="exact"/>
        <w:ind w:firstLine="211" w:firstLineChars="100"/>
        <w:textAlignment w:val="auto"/>
        <w:rPr>
          <w:rFonts w:cs="宋体"/>
          <w:color w:val="auto"/>
          <w:sz w:val="21"/>
          <w:highlight w:val="none"/>
          <w:u w:val="single"/>
        </w:rPr>
      </w:pPr>
      <w:r>
        <w:rPr>
          <w:rFonts w:hint="eastAsia" w:cs="宋体"/>
          <w:b/>
          <w:color w:val="auto"/>
          <w:sz w:val="21"/>
          <w:highlight w:val="none"/>
        </w:rPr>
        <w:t>供应商</w:t>
      </w:r>
      <w:r>
        <w:rPr>
          <w:rFonts w:cs="宋体"/>
          <w:b/>
          <w:color w:val="auto"/>
          <w:sz w:val="21"/>
          <w:highlight w:val="none"/>
        </w:rPr>
        <w:t>（</w:t>
      </w:r>
      <w:r>
        <w:rPr>
          <w:rFonts w:hint="eastAsia" w:cs="宋体"/>
          <w:b/>
          <w:color w:val="auto"/>
          <w:sz w:val="21"/>
          <w:highlight w:val="none"/>
          <w:lang w:val="zh-CN"/>
        </w:rPr>
        <w:t>以下</w:t>
      </w:r>
      <w:r>
        <w:rPr>
          <w:rFonts w:cs="宋体"/>
          <w:b/>
          <w:color w:val="auto"/>
          <w:sz w:val="21"/>
          <w:highlight w:val="none"/>
          <w:lang w:val="zh-CN"/>
        </w:rPr>
        <w:t>称</w:t>
      </w:r>
      <w:r>
        <w:rPr>
          <w:rFonts w:hint="eastAsia" w:cs="宋体"/>
          <w:b/>
          <w:color w:val="auto"/>
          <w:sz w:val="21"/>
          <w:highlight w:val="none"/>
        </w:rPr>
        <w:t>乙方</w:t>
      </w:r>
      <w:r>
        <w:rPr>
          <w:rFonts w:cs="宋体"/>
          <w:b/>
          <w:color w:val="auto"/>
          <w:sz w:val="21"/>
          <w:highlight w:val="none"/>
        </w:rPr>
        <w:t>）</w:t>
      </w:r>
      <w:r>
        <w:rPr>
          <w:rFonts w:hint="eastAsia" w:cs="宋体"/>
          <w:b/>
          <w:color w:val="auto"/>
          <w:sz w:val="21"/>
          <w:highlight w:val="none"/>
        </w:rPr>
        <w:t>:</w:t>
      </w:r>
      <w:r>
        <w:rPr>
          <w:rFonts w:hint="eastAsia" w:asciiTheme="minorEastAsia" w:hAnsiTheme="minorEastAsia" w:eastAsiaTheme="minorEastAsia" w:cstheme="minor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负责对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（项目）进行施工，为了明确双方在施工过程中的权利和义务，结合工程实际情况，经甲、乙双方协商，确定本合同。</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2"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第一条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工程概况</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施工地点：</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施工总量：</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施工方式：包工包料（乙方不得将此项工程转包）。</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工程总价：</w:t>
      </w:r>
      <w:r>
        <w:rPr>
          <w:rFonts w:hint="eastAsia" w:asciiTheme="minorEastAsia" w:hAnsiTheme="minorEastAsia" w:eastAsiaTheme="minorEastAsia" w:cstheme="minorEastAsia"/>
          <w:color w:val="auto"/>
          <w:sz w:val="21"/>
          <w:szCs w:val="21"/>
          <w:highlight w:val="none"/>
          <w:u w:val="single"/>
        </w:rPr>
        <w:t xml:space="preserve"> ￥        元（固定综合单价）  </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工期：</w:t>
      </w:r>
      <w:r>
        <w:rPr>
          <w:rFonts w:hint="eastAsia" w:asciiTheme="minorEastAsia" w:hAnsiTheme="minorEastAsia" w:eastAsiaTheme="minorEastAsia" w:cstheme="minorEastAsia"/>
          <w:color w:val="auto"/>
          <w:sz w:val="21"/>
          <w:szCs w:val="21"/>
          <w:highlight w:val="none"/>
          <w:u w:val="single"/>
        </w:rPr>
        <w:t xml:space="preserve"> 2021年  月  日</w:t>
      </w:r>
      <w:r>
        <w:rPr>
          <w:rFonts w:hint="eastAsia" w:asciiTheme="minorEastAsia" w:hAnsiTheme="minorEastAsia" w:eastAsiaTheme="minorEastAsia" w:cstheme="minorEastAsia"/>
          <w:color w:val="auto"/>
          <w:sz w:val="21"/>
          <w:szCs w:val="21"/>
          <w:highlight w:val="none"/>
        </w:rPr>
        <w:t>开工，至</w:t>
      </w:r>
      <w:r>
        <w:rPr>
          <w:rFonts w:hint="eastAsia" w:asciiTheme="minorEastAsia" w:hAnsiTheme="minorEastAsia" w:eastAsiaTheme="minorEastAsia" w:cstheme="minorEastAsia"/>
          <w:color w:val="auto"/>
          <w:sz w:val="21"/>
          <w:szCs w:val="21"/>
          <w:highlight w:val="none"/>
          <w:u w:val="single"/>
        </w:rPr>
        <w:t>2021年  月  日</w:t>
      </w:r>
      <w:r>
        <w:rPr>
          <w:rFonts w:hint="eastAsia" w:asciiTheme="minorEastAsia" w:hAnsiTheme="minorEastAsia" w:eastAsiaTheme="minorEastAsia" w:cstheme="minorEastAsia"/>
          <w:color w:val="auto"/>
          <w:sz w:val="21"/>
          <w:szCs w:val="21"/>
          <w:highlight w:val="none"/>
        </w:rPr>
        <w:t>完工。</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本工程质保期为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防水3年、其他1年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，以验收合格之日起算。</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付款方式：施工完毕经甲方验收合格并审计后，由甲方向乙方支付审定价的9</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%，余款</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%作为质保金，质保期结束后无质量问题，甲方将在一周内向乙方支付剩余款项。</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2"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第二条</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质量责任</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如施工方案需要变更，须上报甲方并征得甲方同意后才能进行方案的变更。</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施工期间甲方负责协调各项事宜。</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乙方应在规定工期内完成工程施工，如超出工期，则按超出天数，每天按总工程款的</w:t>
      </w:r>
      <w:r>
        <w:rPr>
          <w:rFonts w:hint="eastAsia" w:asciiTheme="minorEastAsia" w:hAnsiTheme="minorEastAsia" w:eastAsiaTheme="minorEastAsia" w:cstheme="minorEastAsia"/>
          <w:color w:val="auto"/>
          <w:sz w:val="21"/>
          <w:szCs w:val="21"/>
          <w:highlight w:val="none"/>
          <w:u w:val="single"/>
        </w:rPr>
        <w:t xml:space="preserve">   1%  </w:t>
      </w:r>
      <w:r>
        <w:rPr>
          <w:rFonts w:hint="eastAsia" w:asciiTheme="minorEastAsia" w:hAnsiTheme="minorEastAsia" w:eastAsiaTheme="minorEastAsia" w:cstheme="minorEastAsia"/>
          <w:color w:val="auto"/>
          <w:sz w:val="21"/>
          <w:szCs w:val="21"/>
          <w:highlight w:val="none"/>
        </w:rPr>
        <w:t>进行扣除。</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乙方须全面负责施工期间施工现场、与乙方具有劳务关系的施工人员及附近业主、行人的安全。</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施工期间乙方须做好防护安保等措施，确保安全第一，质量第一。</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施工期间因乙方因素导致安全事故、劳动纠纷的，甲方不承担任何责任。</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甲方有权在施工期间进行监督，发现存在质量问题时，甲方有权要求乙方限期整改；如情况严重，甲方有权要求乙方暂停施工，因此造成的损失，由乙方承担。</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因施工致使业主投诉的（如夜间施工等），乙方应立即停止施工，在解决投诉问题后方可继续施工，由此造成的损失由乙方承担。</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在质保期内施工部位发生质量问题，乙方应在接到甲方通知的一天内到达现场进行勘察和维修，逾期发生的赔偿责任和损失由乙方负责承担、赔偿，或在质保金中扣除。如赔偿金额超出质保金范围，超出部分由乙方承担。</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2"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第三条 其他事项</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施工结束后由甲方对工程组织验收。</w:t>
      </w:r>
    </w:p>
    <w:p>
      <w:pPr>
        <w:keepNext w:val="0"/>
        <w:keepLines w:val="0"/>
        <w:pageBreakBefore w:val="0"/>
        <w:widowControl w:val="0"/>
        <w:kinsoku/>
        <w:wordWrap/>
        <w:overflowPunct/>
        <w:topLinePunct w:val="0"/>
        <w:autoSpaceDE/>
        <w:autoSpaceDN/>
        <w:bidi w:val="0"/>
        <w:adjustRightInd/>
        <w:snapToGrid/>
        <w:spacing w:line="360" w:lineRule="exact"/>
        <w:ind w:right="105" w:rightChars="5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本合同一式</w:t>
      </w:r>
      <w:r>
        <w:rPr>
          <w:rFonts w:hint="eastAsia" w:asciiTheme="minorEastAsia" w:hAnsiTheme="minorEastAsia" w:eastAsiaTheme="minorEastAsia" w:cstheme="minorEastAsia"/>
          <w:color w:val="auto"/>
          <w:sz w:val="21"/>
          <w:szCs w:val="21"/>
          <w:highlight w:val="none"/>
          <w:u w:val="none"/>
          <w:lang w:val="en-US" w:eastAsia="zh-CN"/>
        </w:rPr>
        <w:t>叁</w:t>
      </w:r>
      <w:r>
        <w:rPr>
          <w:rFonts w:hint="eastAsia" w:asciiTheme="minorEastAsia" w:hAnsiTheme="minorEastAsia" w:eastAsiaTheme="minorEastAsia" w:cstheme="minorEastAsia"/>
          <w:color w:val="auto"/>
          <w:sz w:val="21"/>
          <w:szCs w:val="21"/>
          <w:highlight w:val="none"/>
        </w:rPr>
        <w:t>份，甲、乙双方各执</w:t>
      </w:r>
      <w:r>
        <w:rPr>
          <w:rFonts w:hint="eastAsia" w:asciiTheme="minorEastAsia" w:hAnsiTheme="minorEastAsia" w:eastAsiaTheme="minorEastAsia" w:cstheme="minorEastAsia"/>
          <w:color w:val="auto"/>
          <w:sz w:val="21"/>
          <w:szCs w:val="21"/>
          <w:highlight w:val="none"/>
          <w:u w:val="none"/>
        </w:rPr>
        <w:t>壹份</w:t>
      </w:r>
      <w:r>
        <w:rPr>
          <w:rFonts w:hint="eastAsia" w:ascii="宋体" w:hAnsi="宋体"/>
          <w:color w:val="auto"/>
          <w:szCs w:val="21"/>
          <w:highlight w:val="none"/>
        </w:rPr>
        <w:t>，见证方壹份</w:t>
      </w:r>
      <w:r>
        <w:rPr>
          <w:rFonts w:hint="eastAsia" w:asciiTheme="minorEastAsia" w:hAnsiTheme="minorEastAsia" w:eastAsiaTheme="minorEastAsia" w:cstheme="minorEastAsia"/>
          <w:color w:val="auto"/>
          <w:sz w:val="21"/>
          <w:szCs w:val="21"/>
          <w:highlight w:val="none"/>
        </w:rPr>
        <w:t>。未尽事宜协商解决。</w:t>
      </w:r>
      <w:r>
        <w:rPr>
          <w:rFonts w:hint="eastAsia" w:ascii="宋体" w:hAnsi="宋体"/>
          <w:color w:val="auto"/>
          <w:szCs w:val="21"/>
          <w:highlight w:val="none"/>
        </w:rPr>
        <w:t>见证方仅对甲乙双方签订采购合同的事实进行见证，不代表任何承诺或保证，该合同的履行等相关情况均与见证方无任何关系。</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cs="宋体"/>
          <w:b/>
          <w:bCs/>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日期</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日期</w:t>
      </w:r>
      <w:r>
        <w:rPr>
          <w:rFonts w:hint="eastAsia" w:ascii="宋体" w:hAnsi="宋体" w:cs="宋体"/>
          <w:color w:val="auto"/>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b/>
          <w:bCs/>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keepNext w:val="0"/>
        <w:keepLines w:val="0"/>
        <w:pageBreakBefore w:val="0"/>
        <w:widowControl w:val="0"/>
        <w:tabs>
          <w:tab w:val="left" w:pos="3780"/>
        </w:tabs>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b/>
          <w:color w:val="auto"/>
          <w:sz w:val="21"/>
          <w:szCs w:val="21"/>
          <w:highlight w:val="none"/>
        </w:rPr>
      </w:pPr>
      <w:r>
        <w:rPr>
          <w:rFonts w:hint="eastAsia" w:ascii="宋体"/>
          <w:b/>
          <w:color w:val="auto"/>
          <w:sz w:val="21"/>
          <w:szCs w:val="21"/>
          <w:highlight w:val="none"/>
        </w:rPr>
        <w:t>一、确定有效投标报价</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color w:val="auto"/>
          <w:sz w:val="21"/>
          <w:szCs w:val="21"/>
          <w:highlight w:val="none"/>
        </w:rPr>
      </w:pPr>
      <w:r>
        <w:rPr>
          <w:rFonts w:hint="eastAsia" w:ascii="宋体"/>
          <w:color w:val="auto"/>
          <w:sz w:val="21"/>
          <w:szCs w:val="21"/>
          <w:highlight w:val="none"/>
        </w:rPr>
        <w:t>凡符合竞争性谈判公告、竞争性谈判文件、答疑纪要等有关招标实质性要求并且在</w:t>
      </w:r>
      <w:r>
        <w:rPr>
          <w:rFonts w:hint="eastAsia" w:ascii="宋体"/>
          <w:color w:val="auto"/>
          <w:sz w:val="21"/>
          <w:szCs w:val="21"/>
          <w:highlight w:val="none"/>
          <w:lang w:eastAsia="zh-CN"/>
        </w:rPr>
        <w:t>控制价</w:t>
      </w:r>
      <w:r>
        <w:rPr>
          <w:rFonts w:hint="eastAsia" w:ascii="宋体"/>
          <w:color w:val="auto"/>
          <w:sz w:val="21"/>
          <w:szCs w:val="21"/>
          <w:highlight w:val="none"/>
        </w:rPr>
        <w:t>以下的报价均为有效报价。未能实质性响应上述有关采购要求的谈判响应文件为无效响应文件。</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二、对于小微企业进行价格扣除</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对</w:t>
      </w:r>
      <w:r>
        <w:rPr>
          <w:rFonts w:ascii="宋体" w:hAnsi="宋体"/>
          <w:color w:val="auto"/>
          <w:sz w:val="21"/>
          <w:szCs w:val="21"/>
          <w:highlight w:val="none"/>
        </w:rPr>
        <w:t>小型和微型企业</w:t>
      </w:r>
      <w:r>
        <w:rPr>
          <w:rFonts w:hint="eastAsia" w:ascii="宋体" w:hAnsi="宋体"/>
          <w:color w:val="auto"/>
          <w:sz w:val="21"/>
          <w:szCs w:val="21"/>
          <w:highlight w:val="none"/>
        </w:rPr>
        <w:t>的</w:t>
      </w:r>
      <w:r>
        <w:rPr>
          <w:rFonts w:ascii="宋体" w:hAnsi="宋体"/>
          <w:color w:val="auto"/>
          <w:sz w:val="21"/>
          <w:szCs w:val="21"/>
          <w:highlight w:val="none"/>
        </w:rPr>
        <w:t>价格给予</w:t>
      </w:r>
      <w:r>
        <w:rPr>
          <w:rFonts w:hint="eastAsia" w:ascii="宋体" w:hAnsi="宋体"/>
          <w:color w:val="auto"/>
          <w:sz w:val="21"/>
          <w:szCs w:val="21"/>
          <w:highlight w:val="none"/>
          <w:lang w:val="en-US" w:eastAsia="zh-CN"/>
        </w:rPr>
        <w:t>3</w:t>
      </w:r>
      <w:r>
        <w:rPr>
          <w:rFonts w:ascii="宋体" w:hAnsi="宋体"/>
          <w:color w:val="auto"/>
          <w:sz w:val="21"/>
          <w:szCs w:val="21"/>
          <w:highlight w:val="none"/>
        </w:rPr>
        <w:t>%的扣除</w:t>
      </w:r>
      <w:r>
        <w:rPr>
          <w:rFonts w:hint="eastAsia" w:ascii="宋体" w:hAnsi="宋体"/>
          <w:color w:val="auto"/>
          <w:sz w:val="21"/>
          <w:szCs w:val="21"/>
          <w:highlight w:val="none"/>
        </w:rPr>
        <w:t>，</w:t>
      </w:r>
      <w:r>
        <w:rPr>
          <w:rFonts w:ascii="宋体" w:hAnsi="宋体"/>
          <w:color w:val="auto"/>
          <w:sz w:val="21"/>
          <w:szCs w:val="21"/>
          <w:highlight w:val="none"/>
        </w:rPr>
        <w:t>用扣除后的价格参与评审</w:t>
      </w:r>
      <w:r>
        <w:rPr>
          <w:rFonts w:hint="eastAsia" w:ascii="宋体" w:hAnsi="宋体"/>
          <w:color w:val="auto"/>
          <w:sz w:val="21"/>
          <w:szCs w:val="21"/>
          <w:highlight w:val="none"/>
        </w:rPr>
        <w:t>。属于残疾人福利性单位的视同小微企业，</w:t>
      </w:r>
      <w:r>
        <w:rPr>
          <w:rFonts w:ascii="宋体" w:hAnsi="宋体"/>
          <w:color w:val="auto"/>
          <w:sz w:val="21"/>
          <w:szCs w:val="21"/>
          <w:highlight w:val="none"/>
        </w:rPr>
        <w:t>给予</w:t>
      </w:r>
      <w:r>
        <w:rPr>
          <w:rFonts w:hint="eastAsia" w:ascii="宋体" w:hAnsi="宋体"/>
          <w:color w:val="auto"/>
          <w:sz w:val="21"/>
          <w:szCs w:val="21"/>
          <w:highlight w:val="none"/>
        </w:rPr>
        <w:t>价格扣除。</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宋体"/>
          <w:b/>
          <w:color w:val="auto"/>
          <w:sz w:val="21"/>
          <w:szCs w:val="21"/>
          <w:highlight w:val="none"/>
        </w:rPr>
      </w:pPr>
      <w:r>
        <w:rPr>
          <w:rFonts w:hint="eastAsia" w:ascii="宋体"/>
          <w:b/>
          <w:color w:val="auto"/>
          <w:sz w:val="21"/>
          <w:szCs w:val="21"/>
          <w:highlight w:val="none"/>
          <w:lang w:eastAsia="zh-CN"/>
        </w:rPr>
        <w:t>三</w:t>
      </w:r>
      <w:r>
        <w:rPr>
          <w:rFonts w:hint="eastAsia" w:ascii="宋体"/>
          <w:b/>
          <w:color w:val="auto"/>
          <w:sz w:val="21"/>
          <w:szCs w:val="21"/>
          <w:highlight w:val="none"/>
        </w:rPr>
        <w:t>、定标原则</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color w:val="auto"/>
          <w:sz w:val="21"/>
          <w:szCs w:val="21"/>
          <w:highlight w:val="none"/>
        </w:rPr>
      </w:pPr>
      <w:r>
        <w:rPr>
          <w:rFonts w:hint="eastAsia"/>
          <w:color w:val="auto"/>
          <w:sz w:val="21"/>
          <w:szCs w:val="21"/>
          <w:highlight w:val="none"/>
        </w:rPr>
        <w:t>本项目</w:t>
      </w:r>
      <w:r>
        <w:rPr>
          <w:color w:val="auto"/>
          <w:sz w:val="21"/>
          <w:szCs w:val="21"/>
          <w:highlight w:val="none"/>
        </w:rPr>
        <w:t>采用</w:t>
      </w:r>
      <w:r>
        <w:rPr>
          <w:b/>
          <w:color w:val="auto"/>
          <w:sz w:val="21"/>
          <w:szCs w:val="21"/>
          <w:highlight w:val="none"/>
        </w:rPr>
        <w:t>最低评标价法</w:t>
      </w:r>
      <w:r>
        <w:rPr>
          <w:rFonts w:hint="eastAsia"/>
          <w:b/>
          <w:color w:val="auto"/>
          <w:sz w:val="21"/>
          <w:szCs w:val="21"/>
          <w:highlight w:val="none"/>
        </w:rPr>
        <w:t>，</w:t>
      </w:r>
      <w:r>
        <w:rPr>
          <w:rFonts w:hint="eastAsia"/>
          <w:color w:val="auto"/>
          <w:sz w:val="21"/>
          <w:szCs w:val="21"/>
          <w:highlight w:val="none"/>
        </w:rPr>
        <w:t>即</w:t>
      </w:r>
      <w:r>
        <w:rPr>
          <w:rFonts w:hint="eastAsia" w:ascii="宋体"/>
          <w:color w:val="auto"/>
          <w:sz w:val="21"/>
          <w:szCs w:val="21"/>
          <w:highlight w:val="none"/>
        </w:rPr>
        <w:t>谈判响应文件</w:t>
      </w:r>
      <w:r>
        <w:rPr>
          <w:rFonts w:hint="eastAsia"/>
          <w:color w:val="auto"/>
          <w:sz w:val="21"/>
          <w:szCs w:val="21"/>
          <w:highlight w:val="none"/>
        </w:rPr>
        <w:t>满足竞争性谈判文件全部实质性要求且最终报价最低的供应商为成交供应商。</w:t>
      </w:r>
    </w:p>
    <w:p>
      <w:pPr>
        <w:spacing w:line="360" w:lineRule="exact"/>
        <w:ind w:firstLine="424" w:firstLineChars="202"/>
        <w:rPr>
          <w:rFonts w:ascii="宋体"/>
          <w:szCs w:val="21"/>
        </w:rPr>
      </w:pPr>
      <w:r>
        <w:rPr>
          <w:rFonts w:hint="eastAsia"/>
        </w:rPr>
        <w:t>报价相同的，</w:t>
      </w:r>
      <w:r>
        <w:rPr>
          <w:rFonts w:hint="eastAsia" w:ascii="宋体"/>
          <w:szCs w:val="21"/>
        </w:rPr>
        <w:t>则以抽签方式确定成交供应商。</w:t>
      </w:r>
      <w:r>
        <w:rPr>
          <w:rFonts w:hint="eastAsia" w:ascii="宋体" w:hAnsi="宋体"/>
          <w:szCs w:val="21"/>
        </w:rPr>
        <w:t>确定成交供应商的抽签方式：按照</w:t>
      </w:r>
      <w:r>
        <w:rPr>
          <w:rFonts w:hint="eastAsia" w:ascii="宋体" w:hAnsi="宋体"/>
          <w:color w:val="FF0000"/>
          <w:szCs w:val="21"/>
        </w:rPr>
        <w:t>签到顺序先抽顺序签，然后按顺序签抽取“有”“无”签，抽到“有”签的即为成交供应商。</w:t>
      </w:r>
    </w:p>
    <w:p>
      <w:pPr>
        <w:keepNext w:val="0"/>
        <w:keepLines w:val="0"/>
        <w:pageBreakBefore w:val="0"/>
        <w:widowControl w:val="0"/>
        <w:tabs>
          <w:tab w:val="left" w:pos="5940"/>
        </w:tabs>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color w:val="auto"/>
          <w:sz w:val="21"/>
          <w:szCs w:val="21"/>
          <w:highlight w:val="none"/>
        </w:rPr>
      </w:pPr>
    </w:p>
    <w:p>
      <w:pPr>
        <w:keepNext w:val="0"/>
        <w:keepLines w:val="0"/>
        <w:pageBreakBefore w:val="0"/>
        <w:widowControl w:val="0"/>
        <w:kinsoku/>
        <w:wordWrap/>
        <w:overflowPunct/>
        <w:topLinePunct w:val="0"/>
        <w:autoSpaceDE/>
        <w:autoSpaceDN/>
        <w:bidi w:val="0"/>
        <w:adjustRightInd/>
        <w:spacing w:line="360" w:lineRule="exact"/>
        <w:ind w:firstLine="422" w:firstLineChars="200"/>
        <w:jc w:val="both"/>
        <w:textAlignment w:val="auto"/>
        <w:rPr>
          <w:rFonts w:hint="eastAsia" w:ascii="宋体" w:hAnsi="宋体" w:cs="宋体"/>
          <w:b/>
          <w:color w:val="auto"/>
          <w:sz w:val="21"/>
          <w:szCs w:val="21"/>
          <w:highlight w:val="none"/>
        </w:rPr>
        <w:sectPr>
          <w:footerReference r:id="rId8" w:type="default"/>
          <w:pgSz w:w="11906" w:h="16838"/>
          <w:pgMar w:top="1440" w:right="1800" w:bottom="1440" w:left="1800" w:header="851" w:footer="992" w:gutter="0"/>
          <w:pgNumType w:fmt="decimal"/>
          <w:cols w:space="425" w:num="1"/>
          <w:docGrid w:type="lines" w:linePitch="312" w:charSpace="0"/>
        </w:sectPr>
      </w:pPr>
    </w:p>
    <w:p>
      <w:pPr>
        <w:jc w:val="center"/>
        <w:rPr>
          <w:rFonts w:hint="eastAsia" w:ascii="宋体" w:hAnsi="宋体"/>
          <w:bCs/>
          <w:color w:val="auto"/>
          <w:sz w:val="21"/>
          <w:szCs w:val="21"/>
          <w:highlight w:val="none"/>
          <w:lang w:eastAsia="zh-CN"/>
        </w:rPr>
      </w:pPr>
      <w:r>
        <w:rPr>
          <w:rFonts w:hint="eastAsia" w:ascii="宋体" w:hAnsi="宋体" w:cs="宋体"/>
          <w:b/>
          <w:color w:val="auto"/>
          <w:sz w:val="30"/>
          <w:szCs w:val="30"/>
          <w:highlight w:val="none"/>
        </w:rPr>
        <w:t>第六章  附    件</w:t>
      </w:r>
    </w:p>
    <w:p>
      <w:pPr>
        <w:spacing w:line="360" w:lineRule="auto"/>
        <w:jc w:val="center"/>
        <w:rPr>
          <w:rFonts w:hint="eastAsia" w:ascii="宋体" w:hAnsi="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在采购活动实施过程中，有吵闹、起哄、斗殴等行为，扰乱开标现场或评审现场秩序的，以及在投标答疑、领取招标文件、办理相关手续过程中扰乱正常办公秩序的；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5"/>
        <w:spacing w:line="360" w:lineRule="exact"/>
        <w:rPr>
          <w:rFonts w:hint="eastAsia" w:cs="宋体"/>
          <w:b/>
          <w:color w:val="auto"/>
          <w:sz w:val="28"/>
          <w:szCs w:val="28"/>
          <w:highlight w:val="none"/>
        </w:rPr>
      </w:pPr>
    </w:p>
    <w:p>
      <w:pPr>
        <w:pStyle w:val="9"/>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常州市天宁区青龙街道社区服务中心、</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rPr>
        <w:t>我单位收到贵单位“       号”竞争性谈判文件后，经仔细阅读和研究，我单位决定参加本项目的竞争性谈判</w:t>
      </w:r>
      <w:r>
        <w:rPr>
          <w:rFonts w:cs="宋体"/>
          <w:color w:val="auto"/>
          <w:sz w:val="21"/>
          <w:szCs w:val="21"/>
          <w:highlight w:val="none"/>
        </w:rPr>
        <w:t>活动</w:t>
      </w:r>
      <w:r>
        <w:rPr>
          <w:rFonts w:hint="eastAsia" w:cs="宋体"/>
          <w:color w:val="auto"/>
          <w:sz w:val="21"/>
          <w:szCs w:val="21"/>
          <w:highlight w:val="none"/>
        </w:rPr>
        <w:t>。为此，我单位郑重声明以下诸点，并负法律责任。</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rPr>
        <w:t>1.</w:t>
      </w:r>
      <w:r>
        <w:rPr>
          <w:rFonts w:hint="eastAsia"/>
          <w:color w:val="auto"/>
          <w:sz w:val="21"/>
          <w:szCs w:val="21"/>
          <w:highlight w:val="none"/>
        </w:rPr>
        <w:t>按竞争性谈判文件规定的各项要求，完成竞争性谈判文件</w:t>
      </w:r>
      <w:r>
        <w:rPr>
          <w:color w:val="auto"/>
          <w:sz w:val="21"/>
          <w:szCs w:val="21"/>
          <w:highlight w:val="none"/>
        </w:rPr>
        <w:t>规定的</w:t>
      </w:r>
      <w:r>
        <w:rPr>
          <w:rFonts w:hint="eastAsia"/>
          <w:color w:val="auto"/>
          <w:sz w:val="21"/>
          <w:szCs w:val="21"/>
          <w:highlight w:val="none"/>
        </w:rPr>
        <w:t>全部内容。</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rPr>
        <w:t>2.如果我单位的谈判响应文件被接受，</w:t>
      </w:r>
      <w:r>
        <w:rPr>
          <w:rFonts w:hint="eastAsia"/>
          <w:color w:val="auto"/>
          <w:sz w:val="21"/>
          <w:szCs w:val="21"/>
          <w:highlight w:val="none"/>
        </w:rPr>
        <w:t>愿按</w:t>
      </w:r>
      <w:r>
        <w:rPr>
          <w:rFonts w:hint="eastAsia"/>
          <w:color w:val="auto"/>
          <w:sz w:val="21"/>
          <w:szCs w:val="21"/>
          <w:highlight w:val="none"/>
          <w:lang w:eastAsia="zh-CN"/>
        </w:rPr>
        <w:t>《中华人民共和国民法典》</w:t>
      </w:r>
      <w:r>
        <w:rPr>
          <w:rFonts w:hint="eastAsia"/>
          <w:color w:val="auto"/>
          <w:sz w:val="21"/>
          <w:szCs w:val="21"/>
          <w:highlight w:val="none"/>
        </w:rPr>
        <w:t>履行自己的全部责任，</w:t>
      </w:r>
      <w:r>
        <w:rPr>
          <w:color w:val="auto"/>
          <w:sz w:val="21"/>
          <w:szCs w:val="21"/>
          <w:highlight w:val="none"/>
        </w:rPr>
        <w:t>同时</w:t>
      </w:r>
      <w:r>
        <w:rPr>
          <w:rFonts w:hint="eastAsia" w:cs="宋体"/>
          <w:color w:val="auto"/>
          <w:sz w:val="21"/>
          <w:szCs w:val="21"/>
          <w:highlight w:val="none"/>
        </w:rPr>
        <w:t>严格履行竞争性谈判文件中规定的每一项要求，按期、按质、按量履行合同的义务。</w:t>
      </w:r>
    </w:p>
    <w:p>
      <w:pPr>
        <w:pStyle w:val="15"/>
        <w:spacing w:line="360" w:lineRule="exact"/>
        <w:ind w:firstLine="420"/>
        <w:jc w:val="left"/>
        <w:rPr>
          <w:rFonts w:cs="宋体"/>
          <w:color w:val="auto"/>
          <w:sz w:val="21"/>
          <w:szCs w:val="21"/>
          <w:highlight w:val="none"/>
        </w:rPr>
      </w:pPr>
      <w:r>
        <w:rPr>
          <w:color w:val="auto"/>
          <w:sz w:val="21"/>
          <w:szCs w:val="21"/>
          <w:highlight w:val="none"/>
        </w:rPr>
        <w:t>3</w:t>
      </w:r>
      <w:r>
        <w:rPr>
          <w:rFonts w:hint="eastAsia"/>
          <w:color w:val="auto"/>
          <w:sz w:val="21"/>
          <w:szCs w:val="21"/>
          <w:highlight w:val="none"/>
        </w:rPr>
        <w:t>.</w:t>
      </w:r>
      <w:r>
        <w:rPr>
          <w:rFonts w:hint="eastAsia" w:cs="宋体"/>
          <w:color w:val="auto"/>
          <w:sz w:val="21"/>
          <w:szCs w:val="21"/>
          <w:highlight w:val="none"/>
        </w:rPr>
        <w:t>我单位承诺该谈判响应文件在谈判开始后的全过程中保持有效，不作任何更改和变动。并同意按竞争性谈判文件中的规定，本谈判响应文件的有效期限为谈判开始</w:t>
      </w:r>
      <w:r>
        <w:rPr>
          <w:rFonts w:hint="eastAsia" w:cs="宋体"/>
          <w:color w:val="auto"/>
          <w:sz w:val="21"/>
          <w:szCs w:val="21"/>
          <w:highlight w:val="none"/>
          <w:u w:val="none"/>
        </w:rPr>
        <w:t>后</w:t>
      </w:r>
      <w:r>
        <w:rPr>
          <w:rFonts w:cs="宋体"/>
          <w:color w:val="auto"/>
          <w:sz w:val="21"/>
          <w:szCs w:val="21"/>
          <w:highlight w:val="none"/>
          <w:u w:val="none"/>
        </w:rPr>
        <w:t>6</w:t>
      </w:r>
      <w:r>
        <w:rPr>
          <w:rFonts w:hint="eastAsia" w:cs="宋体"/>
          <w:color w:val="auto"/>
          <w:sz w:val="21"/>
          <w:szCs w:val="21"/>
          <w:highlight w:val="none"/>
          <w:u w:val="none"/>
        </w:rPr>
        <w:t>0天。</w:t>
      </w:r>
    </w:p>
    <w:p>
      <w:pPr>
        <w:pStyle w:val="15"/>
        <w:spacing w:line="360" w:lineRule="exact"/>
        <w:ind w:firstLine="420"/>
        <w:jc w:val="left"/>
        <w:rPr>
          <w:rFonts w:cs="宋体"/>
          <w:color w:val="auto"/>
          <w:sz w:val="21"/>
          <w:szCs w:val="21"/>
          <w:highlight w:val="none"/>
        </w:rPr>
      </w:pPr>
      <w:r>
        <w:rPr>
          <w:color w:val="auto"/>
          <w:sz w:val="21"/>
          <w:szCs w:val="21"/>
          <w:highlight w:val="none"/>
        </w:rPr>
        <w:t>4</w:t>
      </w:r>
      <w:r>
        <w:rPr>
          <w:rFonts w:hint="eastAsia"/>
          <w:color w:val="auto"/>
          <w:sz w:val="21"/>
          <w:szCs w:val="21"/>
          <w:highlight w:val="none"/>
        </w:rPr>
        <w:t>.</w:t>
      </w:r>
      <w:r>
        <w:rPr>
          <w:rFonts w:hint="eastAsia" w:cs="宋体"/>
          <w:color w:val="auto"/>
          <w:sz w:val="21"/>
          <w:szCs w:val="21"/>
          <w:highlight w:val="none"/>
        </w:rPr>
        <w:t>我单位愿意按竞争性谈判文件的规定交纳谈判保证金，</w:t>
      </w:r>
      <w:r>
        <w:rPr>
          <w:rFonts w:hint="eastAsia"/>
          <w:color w:val="auto"/>
          <w:sz w:val="21"/>
          <w:szCs w:val="21"/>
          <w:highlight w:val="none"/>
        </w:rPr>
        <w:t>遵守贵机构有关采购的各项规定。</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rPr>
        <w:t>5.我单位愿意提供竞争性谈判文件中要求所有资料，并保证完全真实准确，若有虚假和违背，我单位愿意承担由此而产生的一切后果。</w:t>
      </w:r>
    </w:p>
    <w:p>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我单位承诺：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7</w:t>
      </w:r>
      <w:r>
        <w:rPr>
          <w:rFonts w:hint="eastAsia" w:cs="宋体"/>
          <w:color w:val="auto"/>
          <w:sz w:val="21"/>
          <w:szCs w:val="21"/>
          <w:highlight w:val="none"/>
        </w:rPr>
        <w:t>.我单位认为贵单位有权决定成交供应商，还认为贵单位有权接受或拒绝所有的供应商。</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8</w:t>
      </w:r>
      <w:r>
        <w:rPr>
          <w:rFonts w:hint="eastAsia" w:cs="宋体"/>
          <w:color w:val="auto"/>
          <w:sz w:val="21"/>
          <w:szCs w:val="21"/>
          <w:highlight w:val="none"/>
        </w:rPr>
        <w:t>.我单位愿意遵守竞争性谈判文件中所列的收费标准。</w:t>
      </w:r>
    </w:p>
    <w:p>
      <w:pPr>
        <w:pStyle w:val="15"/>
        <w:spacing w:line="360" w:lineRule="exact"/>
        <w:ind w:firstLine="420"/>
        <w:jc w:val="left"/>
        <w:rPr>
          <w:rFonts w:cs="宋体"/>
          <w:color w:val="auto"/>
          <w:sz w:val="21"/>
          <w:szCs w:val="21"/>
          <w:highlight w:val="none"/>
        </w:rPr>
      </w:pPr>
      <w:r>
        <w:rPr>
          <w:rFonts w:hint="eastAsia" w:cs="宋体"/>
          <w:color w:val="auto"/>
          <w:sz w:val="21"/>
          <w:szCs w:val="21"/>
          <w:highlight w:val="none"/>
          <w:lang w:val="en-US" w:eastAsia="zh-CN"/>
        </w:rPr>
        <w:t>9</w:t>
      </w:r>
      <w:r>
        <w:rPr>
          <w:rFonts w:hint="eastAsia" w:cs="宋体"/>
          <w:color w:val="auto"/>
          <w:sz w:val="21"/>
          <w:szCs w:val="21"/>
          <w:highlight w:val="none"/>
        </w:rPr>
        <w:t>.如果我单位成交，我单位愿意按竞争性谈判文件的规定支付成交服务费。</w:t>
      </w:r>
    </w:p>
    <w:p>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.经我单位研究竞争性谈判文件后，愿以</w:t>
      </w:r>
      <w:r>
        <w:rPr>
          <w:rFonts w:hint="eastAsia" w:ascii="宋体" w:hAnsi="宋体"/>
          <w:color w:val="auto"/>
          <w:szCs w:val="21"/>
          <w:highlight w:val="none"/>
        </w:rPr>
        <w:t>人民</w:t>
      </w:r>
      <w:bookmarkStart w:id="43" w:name="_GoBack"/>
      <w:r>
        <w:rPr>
          <w:rFonts w:hint="eastAsia" w:ascii="宋体" w:hAnsi="宋体"/>
          <w:color w:val="FF0000"/>
          <w:szCs w:val="21"/>
          <w:highlight w:val="none"/>
          <w:lang w:eastAsia="zh-CN"/>
        </w:rPr>
        <w:t>币</w:t>
      </w:r>
      <w:bookmarkEnd w:id="43"/>
      <w:r>
        <w:rPr>
          <w:rFonts w:hint="eastAsia" w:ascii="宋体" w:hAnsi="宋体"/>
          <w:color w:val="auto"/>
          <w:szCs w:val="21"/>
          <w:highlight w:val="none"/>
          <w:u w:val="single"/>
        </w:rPr>
        <w:t xml:space="preserve">      </w:t>
      </w:r>
      <w:r>
        <w:rPr>
          <w:rFonts w:hint="eastAsia" w:ascii="宋体" w:hAnsi="宋体"/>
          <w:color w:val="auto"/>
          <w:szCs w:val="21"/>
          <w:highlight w:val="none"/>
        </w:rPr>
        <w:t>元（小写：</w:t>
      </w:r>
      <w:r>
        <w:rPr>
          <w:rFonts w:hint="eastAsia" w:ascii="宋体" w:hAnsi="宋体"/>
          <w:color w:val="auto"/>
          <w:szCs w:val="21"/>
          <w:highlight w:val="none"/>
          <w:u w:val="single"/>
        </w:rPr>
        <w:t xml:space="preserve">     </w:t>
      </w:r>
      <w:r>
        <w:rPr>
          <w:rFonts w:hint="eastAsia" w:ascii="宋体" w:hAnsi="宋体"/>
          <w:color w:val="auto"/>
          <w:szCs w:val="21"/>
          <w:highlight w:val="none"/>
        </w:rPr>
        <w:t>元）报价</w:t>
      </w:r>
      <w:r>
        <w:rPr>
          <w:rFonts w:hint="eastAsia" w:ascii="宋体" w:hAnsi="宋体" w:cs="宋体"/>
          <w:color w:val="auto"/>
          <w:szCs w:val="21"/>
          <w:highlight w:val="none"/>
        </w:rPr>
        <w:t>，按竞争性谈判文件要求承包本次采购范围内的全部工程。</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.我单位保证在收到建设单位发出的书面开工后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日内开工，并在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日（日历日）内竣工。</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.我单位保证本工程质量达到：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rPr>
        <w:t>。</w:t>
      </w:r>
    </w:p>
    <w:p>
      <w:pPr>
        <w:pStyle w:val="15"/>
        <w:spacing w:line="360" w:lineRule="exact"/>
        <w:ind w:firstLine="420"/>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lang w:val="en-US" w:eastAsia="zh-CN"/>
        </w:rPr>
        <w:t>3</w:t>
      </w:r>
      <w:r>
        <w:rPr>
          <w:rFonts w:hint="eastAsia" w:cs="宋体"/>
          <w:color w:val="auto"/>
          <w:sz w:val="21"/>
          <w:szCs w:val="21"/>
          <w:highlight w:val="none"/>
        </w:rPr>
        <w:t>.我单位一旦成交，将实行项目经理负责制，保证并配备</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lang w:val="en-US" w:eastAsia="zh-CN"/>
        </w:rPr>
        <w:t>项目负责人</w:t>
      </w:r>
      <w:r>
        <w:rPr>
          <w:rFonts w:hint="eastAsia" w:cs="宋体"/>
          <w:color w:val="auto"/>
          <w:sz w:val="21"/>
          <w:szCs w:val="21"/>
          <w:highlight w:val="none"/>
        </w:rPr>
        <w:t>）全面负责上述项目管理。</w:t>
      </w:r>
    </w:p>
    <w:p>
      <w:pPr>
        <w:pStyle w:val="15"/>
        <w:spacing w:line="360" w:lineRule="exact"/>
        <w:ind w:firstLine="420" w:firstLineChars="200"/>
        <w:jc w:val="left"/>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lang w:val="en-US" w:eastAsia="zh-CN"/>
        </w:rPr>
        <w:t>4</w:t>
      </w:r>
      <w:r>
        <w:rPr>
          <w:rFonts w:hint="eastAsia" w:cs="宋体"/>
          <w:color w:val="auto"/>
          <w:sz w:val="21"/>
          <w:szCs w:val="21"/>
          <w:highlight w:val="none"/>
        </w:rPr>
        <w:t>.与本次谈判有关的正式通讯地址为：</w:t>
      </w:r>
    </w:p>
    <w:p>
      <w:pPr>
        <w:pStyle w:val="15"/>
        <w:spacing w:line="360" w:lineRule="exact"/>
        <w:jc w:val="left"/>
        <w:rPr>
          <w:rFonts w:cs="宋体"/>
          <w:color w:val="auto"/>
          <w:sz w:val="21"/>
          <w:szCs w:val="21"/>
          <w:highlight w:val="none"/>
        </w:rPr>
      </w:pPr>
    </w:p>
    <w:p>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pPr>
        <w:rPr>
          <w:color w:val="auto"/>
          <w:highlight w:val="none"/>
        </w:rPr>
      </w:pPr>
    </w:p>
    <w:p>
      <w:pPr>
        <w:pStyle w:val="15"/>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jc w:val="righ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pStyle w:val="4"/>
        <w:overflowPunct w:val="0"/>
        <w:spacing w:line="400" w:lineRule="exact"/>
        <w:ind w:firstLine="0"/>
        <w:rPr>
          <w:rFonts w:hint="eastAsia"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400" w:lineRule="exact"/>
        <w:ind w:firstLine="0"/>
        <w:rPr>
          <w:rFonts w:hAnsi="宋体" w:cs="宋体"/>
          <w:b/>
          <w:color w:val="auto"/>
          <w:sz w:val="28"/>
          <w:szCs w:val="28"/>
          <w:highlight w:val="none"/>
        </w:rPr>
      </w:pPr>
      <w:r>
        <w:rPr>
          <w:rFonts w:hint="eastAsia" w:hAnsi="宋体" w:cs="宋体"/>
          <w:b/>
          <w:bCs/>
          <w:color w:val="auto"/>
          <w:sz w:val="28"/>
          <w:szCs w:val="28"/>
          <w:highlight w:val="none"/>
        </w:rPr>
        <w:t>5.</w:t>
      </w:r>
      <w:r>
        <w:rPr>
          <w:rFonts w:hint="eastAsia" w:hAnsi="宋体" w:cs="宋体"/>
          <w:b/>
          <w:color w:val="auto"/>
          <w:sz w:val="28"/>
          <w:szCs w:val="28"/>
          <w:highlight w:val="none"/>
        </w:rPr>
        <w:t>谈判总价封面</w:t>
      </w:r>
    </w:p>
    <w:p>
      <w:pPr>
        <w:spacing w:line="400" w:lineRule="exact"/>
        <w:ind w:firstLine="2349" w:firstLineChars="650"/>
        <w:rPr>
          <w:rFonts w:ascii="宋体" w:hAnsi="宋体"/>
          <w:b/>
          <w:color w:val="auto"/>
          <w:sz w:val="36"/>
          <w:szCs w:val="36"/>
          <w:highlight w:val="none"/>
        </w:rPr>
      </w:pPr>
    </w:p>
    <w:p>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谈  判  总   价</w:t>
      </w:r>
    </w:p>
    <w:p>
      <w:pPr>
        <w:spacing w:line="400" w:lineRule="exact"/>
        <w:rPr>
          <w:rFonts w:ascii="宋体" w:hAnsi="宋体"/>
          <w:color w:val="auto"/>
          <w:highlight w:val="none"/>
        </w:rPr>
      </w:pPr>
    </w:p>
    <w:p>
      <w:pPr>
        <w:spacing w:line="400" w:lineRule="exact"/>
        <w:rPr>
          <w:rFonts w:ascii="宋体" w:hAnsi="宋体"/>
          <w:color w:val="auto"/>
          <w:highlight w:val="none"/>
        </w:rPr>
      </w:pPr>
      <w:r>
        <w:rPr>
          <w:rFonts w:hint="eastAsia" w:ascii="宋体" w:hAnsi="宋体"/>
          <w:color w:val="auto"/>
          <w:highlight w:val="none"/>
        </w:rPr>
        <w:t xml:space="preserve"> </w:t>
      </w: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采 </w:t>
      </w:r>
      <w:r>
        <w:rPr>
          <w:rFonts w:ascii="宋体" w:hAnsi="宋体"/>
          <w:b/>
          <w:color w:val="auto"/>
          <w:sz w:val="32"/>
          <w:szCs w:val="32"/>
          <w:highlight w:val="none"/>
        </w:rPr>
        <w:t xml:space="preserve">  </w:t>
      </w:r>
      <w:r>
        <w:rPr>
          <w:rFonts w:hint="eastAsia" w:ascii="宋体" w:hAnsi="宋体"/>
          <w:b/>
          <w:color w:val="auto"/>
          <w:sz w:val="32"/>
          <w:szCs w:val="32"/>
          <w:highlight w:val="none"/>
        </w:rPr>
        <w:t xml:space="preserve">购 </w:t>
      </w:r>
      <w:r>
        <w:rPr>
          <w:rFonts w:ascii="宋体" w:hAnsi="宋体"/>
          <w:b/>
          <w:color w:val="auto"/>
          <w:sz w:val="32"/>
          <w:szCs w:val="32"/>
          <w:highlight w:val="none"/>
        </w:rPr>
        <w:t xml:space="preserve"> </w:t>
      </w:r>
      <w:r>
        <w:rPr>
          <w:rFonts w:hint="eastAsia" w:ascii="宋体" w:hAnsi="宋体"/>
          <w:b/>
          <w:color w:val="auto"/>
          <w:sz w:val="32"/>
          <w:szCs w:val="32"/>
          <w:highlight w:val="none"/>
        </w:rPr>
        <w:t>人：</w:t>
      </w:r>
      <w:r>
        <w:rPr>
          <w:rFonts w:hint="eastAsia" w:ascii="宋体" w:hAnsi="宋体"/>
          <w:b/>
          <w:color w:val="auto"/>
          <w:sz w:val="32"/>
          <w:szCs w:val="32"/>
          <w:highlight w:val="none"/>
          <w:u w:val="single"/>
        </w:rPr>
        <w:t xml:space="preserve">                                  </w:t>
      </w:r>
    </w:p>
    <w:p>
      <w:pPr>
        <w:spacing w:line="400" w:lineRule="exact"/>
        <w:rPr>
          <w:rFonts w:ascii="宋体" w:hAnsi="宋体"/>
          <w:color w:val="auto"/>
          <w:sz w:val="32"/>
          <w:szCs w:val="32"/>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工 程 名 称：</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 xml:space="preserve">           </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u w:val="single"/>
        </w:rPr>
      </w:pPr>
      <w:r>
        <w:rPr>
          <w:rFonts w:hint="eastAsia" w:ascii="宋体" w:hAnsi="宋体"/>
          <w:b/>
          <w:color w:val="auto"/>
          <w:sz w:val="32"/>
          <w:szCs w:val="32"/>
          <w:highlight w:val="none"/>
        </w:rPr>
        <w:t>谈</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判</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总</w:t>
      </w:r>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价（小写）：</w:t>
      </w:r>
      <w:r>
        <w:rPr>
          <w:rFonts w:hint="eastAsia" w:ascii="宋体" w:hAnsi="宋体"/>
          <w:b/>
          <w:color w:val="auto"/>
          <w:sz w:val="32"/>
          <w:szCs w:val="32"/>
          <w:highlight w:val="none"/>
          <w:u w:val="single"/>
        </w:rPr>
        <w:t xml:space="preserve">                                </w:t>
      </w:r>
    </w:p>
    <w:p>
      <w:pPr>
        <w:spacing w:line="400" w:lineRule="exact"/>
        <w:ind w:firstLine="1928" w:firstLineChars="600"/>
        <w:rPr>
          <w:rFonts w:ascii="宋体" w:hAnsi="宋体"/>
          <w:b/>
          <w:color w:val="auto"/>
          <w:sz w:val="32"/>
          <w:szCs w:val="32"/>
          <w:highlight w:val="none"/>
        </w:rPr>
      </w:pPr>
    </w:p>
    <w:p>
      <w:pPr>
        <w:spacing w:line="400" w:lineRule="exact"/>
        <w:ind w:firstLine="2570" w:firstLineChars="800"/>
        <w:rPr>
          <w:rFonts w:ascii="宋体" w:hAnsi="宋体"/>
          <w:color w:val="auto"/>
          <w:sz w:val="32"/>
          <w:szCs w:val="32"/>
          <w:highlight w:val="none"/>
          <w:u w:val="single"/>
        </w:rPr>
      </w:pPr>
      <w:r>
        <w:rPr>
          <w:rFonts w:hint="eastAsia" w:ascii="宋体" w:hAnsi="宋体"/>
          <w:b/>
          <w:color w:val="auto"/>
          <w:sz w:val="32"/>
          <w:szCs w:val="32"/>
          <w:highlight w:val="none"/>
        </w:rPr>
        <w:t>（大写）：</w:t>
      </w:r>
      <w:r>
        <w:rPr>
          <w:rFonts w:hint="eastAsia" w:ascii="宋体" w:hAnsi="宋体"/>
          <w:color w:val="auto"/>
          <w:sz w:val="32"/>
          <w:szCs w:val="32"/>
          <w:highlight w:val="none"/>
          <w:u w:val="single"/>
        </w:rPr>
        <w:t xml:space="preserve">                                </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供应商：</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w:t>
      </w:r>
      <w:r>
        <w:rPr>
          <w:rFonts w:hint="eastAsia" w:ascii="宋体" w:hAnsi="宋体"/>
          <w:color w:val="auto"/>
          <w:szCs w:val="21"/>
          <w:highlight w:val="none"/>
        </w:rPr>
        <w:t>单位盖公章</w:t>
      </w:r>
      <w:r>
        <w:rPr>
          <w:rFonts w:hint="eastAsia" w:ascii="宋体" w:hAnsi="宋体"/>
          <w:color w:val="auto"/>
          <w:sz w:val="32"/>
          <w:szCs w:val="32"/>
          <w:highlight w:val="none"/>
        </w:rPr>
        <w:t>）</w:t>
      </w: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法定代表人</w:t>
      </w: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或其授权人：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 xml:space="preserve"> （</w:t>
      </w:r>
      <w:r>
        <w:rPr>
          <w:rFonts w:hint="eastAsia" w:ascii="宋体" w:hAnsi="宋体"/>
          <w:color w:val="auto"/>
          <w:szCs w:val="21"/>
          <w:highlight w:val="none"/>
        </w:rPr>
        <w:t>签字或盖公章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编  制  人：</w:t>
      </w:r>
      <w:r>
        <w:rPr>
          <w:rFonts w:hint="eastAsia" w:ascii="宋体" w:hAnsi="宋体"/>
          <w:color w:val="auto"/>
          <w:sz w:val="32"/>
          <w:szCs w:val="32"/>
          <w:highlight w:val="none"/>
          <w:u w:val="single"/>
        </w:rPr>
        <w:t xml:space="preserve">                   </w:t>
      </w:r>
      <w:r>
        <w:rPr>
          <w:rFonts w:hint="eastAsia" w:ascii="宋体" w:hAnsi="宋体"/>
          <w:color w:val="auto"/>
          <w:sz w:val="32"/>
          <w:szCs w:val="32"/>
          <w:highlight w:val="none"/>
        </w:rPr>
        <w:t>（</w:t>
      </w:r>
      <w:r>
        <w:rPr>
          <w:rFonts w:hint="eastAsia" w:ascii="宋体" w:hAnsi="宋体"/>
          <w:color w:val="auto"/>
          <w:szCs w:val="21"/>
          <w:highlight w:val="none"/>
        </w:rPr>
        <w:t>造价人员签字</w:t>
      </w:r>
      <w:r>
        <w:rPr>
          <w:rFonts w:hint="eastAsia" w:ascii="宋体" w:hAnsi="宋体"/>
          <w:b/>
          <w:color w:val="auto"/>
          <w:szCs w:val="21"/>
          <w:highlight w:val="none"/>
        </w:rPr>
        <w:t>或</w:t>
      </w:r>
      <w:r>
        <w:rPr>
          <w:rFonts w:hint="eastAsia" w:ascii="宋体" w:hAnsi="宋体"/>
          <w:color w:val="auto"/>
          <w:szCs w:val="21"/>
          <w:highlight w:val="none"/>
        </w:rPr>
        <w:t>盖专用章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编 制 时 间：</w:t>
      </w:r>
    </w:p>
    <w:p>
      <w:pPr>
        <w:snapToGrid w:val="0"/>
        <w:spacing w:line="400" w:lineRule="exact"/>
        <w:rPr>
          <w:rFonts w:ascii="宋体" w:hAnsi="宋体" w:cs="宋体"/>
          <w:color w:val="auto"/>
          <w:sz w:val="20"/>
          <w:highlight w:val="none"/>
        </w:rPr>
      </w:pPr>
    </w:p>
    <w:p>
      <w:pPr>
        <w:snapToGrid w:val="0"/>
        <w:spacing w:line="400" w:lineRule="exact"/>
        <w:rPr>
          <w:rFonts w:ascii="宋体" w:hAnsi="宋体" w:cs="宋体"/>
          <w:color w:val="auto"/>
          <w:sz w:val="20"/>
          <w:highlight w:val="none"/>
        </w:rPr>
      </w:pPr>
    </w:p>
    <w:p>
      <w:pPr>
        <w:pStyle w:val="4"/>
        <w:overflowPunct w:val="0"/>
        <w:spacing w:line="500" w:lineRule="exact"/>
        <w:ind w:firstLine="0"/>
        <w:rPr>
          <w:rFonts w:hAnsi="宋体" w:cs="宋体"/>
          <w:b/>
          <w:color w:val="auto"/>
          <w:sz w:val="32"/>
          <w:szCs w:val="32"/>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6.工程量清单报价表</w:t>
      </w:r>
    </w:p>
    <w:p>
      <w:pP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工程量清单报价表</w:t>
      </w:r>
    </w:p>
    <w:p>
      <w:pPr>
        <w:jc w:val="cente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详见工程量清单</w:t>
      </w:r>
    </w:p>
    <w:p>
      <w:pPr>
        <w:jc w:val="center"/>
        <w:outlineLvl w:val="1"/>
        <w:rPr>
          <w:rFonts w:ascii="宋体" w:hAnsi="宋体" w:cs="宋体"/>
          <w:b/>
          <w:color w:val="auto"/>
          <w:sz w:val="28"/>
          <w:szCs w:val="28"/>
          <w:highlight w:val="none"/>
        </w:rPr>
      </w:pPr>
    </w:p>
    <w:p>
      <w:pPr>
        <w:spacing w:line="360" w:lineRule="exact"/>
        <w:outlineLvl w:val="1"/>
        <w:rPr>
          <w:rFonts w:ascii="宋体" w:hAnsi="宋体" w:cs="宋体"/>
          <w:b/>
          <w:color w:val="auto"/>
          <w:sz w:val="28"/>
          <w:szCs w:val="28"/>
          <w:highlight w:val="none"/>
        </w:rPr>
      </w:pPr>
    </w:p>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日期：</w:t>
      </w:r>
      <w:r>
        <w:rPr>
          <w:rFonts w:ascii="宋体" w:hAnsi="宋体" w:cs="Arial"/>
          <w:color w:val="auto"/>
          <w:kern w:val="0"/>
          <w:szCs w:val="21"/>
          <w:highlight w:val="none"/>
        </w:rPr>
        <w:t xml:space="preserve">      </w:t>
      </w:r>
      <w:r>
        <w:rPr>
          <w:rFonts w:hint="eastAsia" w:ascii="宋体" w:hAnsi="宋体" w:cs="Arial"/>
          <w:color w:val="auto"/>
          <w:kern w:val="0"/>
          <w:szCs w:val="21"/>
          <w:highlight w:val="none"/>
        </w:rPr>
        <w:t>年</w:t>
      </w:r>
      <w:r>
        <w:rPr>
          <w:rFonts w:ascii="宋体" w:hAnsi="宋体" w:cs="Arial"/>
          <w:color w:val="auto"/>
          <w:kern w:val="0"/>
          <w:szCs w:val="21"/>
          <w:highlight w:val="none"/>
        </w:rPr>
        <w:t xml:space="preserve">  </w:t>
      </w:r>
      <w:r>
        <w:rPr>
          <w:rFonts w:hint="eastAsia" w:ascii="宋体" w:hAnsi="宋体" w:cs="Arial"/>
          <w:color w:val="auto"/>
          <w:kern w:val="0"/>
          <w:szCs w:val="21"/>
          <w:highlight w:val="none"/>
        </w:rPr>
        <w:t>月</w:t>
      </w:r>
      <w:r>
        <w:rPr>
          <w:rFonts w:ascii="宋体" w:hAnsi="宋体" w:cs="Arial"/>
          <w:color w:val="auto"/>
          <w:kern w:val="0"/>
          <w:szCs w:val="21"/>
          <w:highlight w:val="none"/>
        </w:rPr>
        <w:t xml:space="preserve">   </w:t>
      </w:r>
      <w:r>
        <w:rPr>
          <w:rFonts w:hint="eastAsia" w:ascii="宋体" w:hAnsi="宋体" w:cs="Arial"/>
          <w:color w:val="auto"/>
          <w:kern w:val="0"/>
          <w:szCs w:val="21"/>
          <w:highlight w:val="none"/>
        </w:rPr>
        <w:t>日</w:t>
      </w:r>
    </w:p>
    <w:p>
      <w:pPr>
        <w:widowControl/>
        <w:jc w:val="left"/>
        <w:rPr>
          <w:rFonts w:ascii="宋体" w:hAnsi="宋体" w:cs="宋体"/>
          <w:b/>
          <w:color w:val="auto"/>
          <w:sz w:val="28"/>
          <w:szCs w:val="28"/>
          <w:highlight w:val="none"/>
        </w:rPr>
      </w:pPr>
    </w:p>
    <w:p>
      <w:pPr>
        <w:widowControl/>
        <w:jc w:val="left"/>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7</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8.</w:t>
      </w:r>
      <w:r>
        <w:rPr>
          <w:rFonts w:hint="eastAsia" w:ascii="宋体" w:hAnsi="宋体" w:cs="宋体"/>
          <w:b/>
          <w:color w:val="auto"/>
          <w:sz w:val="28"/>
          <w:szCs w:val="28"/>
          <w:highlight w:val="none"/>
        </w:rPr>
        <w:t>中小企业声明函</w:t>
      </w:r>
    </w:p>
    <w:p>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pPr>
        <w:spacing w:line="560" w:lineRule="exact"/>
        <w:ind w:firstLine="480" w:firstLineChars="200"/>
        <w:rPr>
          <w:rFonts w:ascii="宋体" w:hAnsi="宋体" w:eastAsia="宋体" w:cs="宋体"/>
          <w:color w:val="auto"/>
          <w:sz w:val="24"/>
          <w:szCs w:val="24"/>
          <w:highlight w:val="none"/>
        </w:rPr>
      </w:pP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采购活动，工程的施工单位全部为符合政策要求的中小企业。企业的具体情况如下：</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w:t>
      </w:r>
      <w:r>
        <w:rPr>
          <w:rFonts w:hint="eastAsia" w:asciiTheme="minorEastAsia" w:hAnsiTheme="minorEastAsia" w:eastAsiaTheme="minorEastAsia" w:cstheme="minorEastAsia"/>
          <w:i w:val="0"/>
          <w:iCs w:val="0"/>
          <w:color w:val="auto"/>
          <w:sz w:val="24"/>
          <w:szCs w:val="24"/>
          <w:highlight w:val="none"/>
          <w:lang w:eastAsia="zh-CN"/>
        </w:rPr>
        <w:t>建</w:t>
      </w:r>
      <w:r>
        <w:rPr>
          <w:rFonts w:hint="eastAsia" w:asciiTheme="minorEastAsia" w:hAnsiTheme="minorEastAsia" w:eastAsiaTheme="minorEastAsia" w:cstheme="minorEastAsia"/>
          <w:i w:val="0"/>
          <w:iCs w:val="0"/>
          <w:color w:val="auto"/>
          <w:sz w:val="24"/>
          <w:szCs w:val="24"/>
          <w:highlight w:val="none"/>
        </w:rPr>
        <w:t>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lang w:eastAsia="zh-CN"/>
        </w:rPr>
        <w:t>投标人</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w:t>
      </w:r>
      <w:r>
        <w:rPr>
          <w:rFonts w:hint="eastAsia" w:asciiTheme="minorEastAsia" w:hAnsiTheme="minorEastAsia" w:eastAsiaTheme="minorEastAsia" w:cstheme="minorEastAsia"/>
          <w:i w:val="0"/>
          <w:iCs w:val="0"/>
          <w:color w:val="auto"/>
          <w:sz w:val="24"/>
          <w:szCs w:val="24"/>
          <w:highlight w:val="none"/>
          <w:lang w:eastAsia="zh-CN"/>
        </w:rPr>
        <w:t>投标人</w:t>
      </w:r>
      <w:r>
        <w:rPr>
          <w:rFonts w:hint="eastAsia" w:asciiTheme="minorEastAsia" w:hAnsiTheme="minorEastAsia" w:eastAsiaTheme="minorEastAsia" w:cstheme="minorEastAsia"/>
          <w:i w:val="0"/>
          <w:iCs w:val="0"/>
          <w:color w:val="auto"/>
          <w:sz w:val="24"/>
          <w:szCs w:val="24"/>
          <w:highlight w:val="none"/>
        </w:rPr>
        <w:t>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pPr>
        <w:spacing w:line="560" w:lineRule="exact"/>
        <w:ind w:firstLine="321" w:firstLineChars="100"/>
        <w:jc w:val="center"/>
        <w:rPr>
          <w:rFonts w:hint="eastAsia" w:ascii="黑体" w:hAnsi="黑体" w:eastAsia="黑体"/>
          <w:b/>
          <w:color w:val="auto"/>
          <w:sz w:val="32"/>
          <w:szCs w:val="32"/>
          <w:highlight w:val="none"/>
          <w:lang w:eastAsia="zh-CN"/>
        </w:rPr>
      </w:pPr>
    </w:p>
    <w:p>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项目采购活动由本单位承担工程。</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4"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DC3B5E"/>
    <w:rsid w:val="0172526A"/>
    <w:rsid w:val="01C26C05"/>
    <w:rsid w:val="023A1A74"/>
    <w:rsid w:val="02C67D33"/>
    <w:rsid w:val="03EE6C52"/>
    <w:rsid w:val="05E006D3"/>
    <w:rsid w:val="07CC7C5B"/>
    <w:rsid w:val="07E1436B"/>
    <w:rsid w:val="08605A29"/>
    <w:rsid w:val="0917644A"/>
    <w:rsid w:val="12D00772"/>
    <w:rsid w:val="13DD0205"/>
    <w:rsid w:val="157C54AE"/>
    <w:rsid w:val="16D163F9"/>
    <w:rsid w:val="16EE5126"/>
    <w:rsid w:val="17CB7AB1"/>
    <w:rsid w:val="18536F9B"/>
    <w:rsid w:val="18F32E56"/>
    <w:rsid w:val="195A1128"/>
    <w:rsid w:val="199F3089"/>
    <w:rsid w:val="19A243B6"/>
    <w:rsid w:val="19D34041"/>
    <w:rsid w:val="19DF25B4"/>
    <w:rsid w:val="1B9C2D61"/>
    <w:rsid w:val="1BD66755"/>
    <w:rsid w:val="1C9613C7"/>
    <w:rsid w:val="20510D4E"/>
    <w:rsid w:val="232B6B6B"/>
    <w:rsid w:val="237972F9"/>
    <w:rsid w:val="24C02A8C"/>
    <w:rsid w:val="24D06C64"/>
    <w:rsid w:val="296A2774"/>
    <w:rsid w:val="29C54D27"/>
    <w:rsid w:val="2B243571"/>
    <w:rsid w:val="2D990C72"/>
    <w:rsid w:val="2F4B209E"/>
    <w:rsid w:val="3290210E"/>
    <w:rsid w:val="33BA73F9"/>
    <w:rsid w:val="36C66297"/>
    <w:rsid w:val="375436D0"/>
    <w:rsid w:val="37AD4689"/>
    <w:rsid w:val="3A987192"/>
    <w:rsid w:val="3D241690"/>
    <w:rsid w:val="3D290A17"/>
    <w:rsid w:val="3D5D2732"/>
    <w:rsid w:val="3D60217E"/>
    <w:rsid w:val="3FB331F5"/>
    <w:rsid w:val="413F7265"/>
    <w:rsid w:val="41894BD4"/>
    <w:rsid w:val="43887E77"/>
    <w:rsid w:val="44F557CA"/>
    <w:rsid w:val="459F16B7"/>
    <w:rsid w:val="47587EC6"/>
    <w:rsid w:val="48957E00"/>
    <w:rsid w:val="48AC4CEE"/>
    <w:rsid w:val="4AB7138D"/>
    <w:rsid w:val="4C1D1542"/>
    <w:rsid w:val="4CFE61A4"/>
    <w:rsid w:val="4D043CAC"/>
    <w:rsid w:val="4F020CAE"/>
    <w:rsid w:val="50D466F6"/>
    <w:rsid w:val="51522EC5"/>
    <w:rsid w:val="53262886"/>
    <w:rsid w:val="562C33EA"/>
    <w:rsid w:val="56FE23DF"/>
    <w:rsid w:val="5C9436EF"/>
    <w:rsid w:val="5CD0123D"/>
    <w:rsid w:val="5ECB2C1D"/>
    <w:rsid w:val="5F4F2FEA"/>
    <w:rsid w:val="5FC80EE5"/>
    <w:rsid w:val="652A7E16"/>
    <w:rsid w:val="65871EF3"/>
    <w:rsid w:val="66C42C67"/>
    <w:rsid w:val="690B015A"/>
    <w:rsid w:val="690C6515"/>
    <w:rsid w:val="696448BB"/>
    <w:rsid w:val="6A8A519B"/>
    <w:rsid w:val="6BD37D5E"/>
    <w:rsid w:val="71E074B6"/>
    <w:rsid w:val="72BF6D04"/>
    <w:rsid w:val="736C4651"/>
    <w:rsid w:val="780B538B"/>
    <w:rsid w:val="789D5077"/>
    <w:rsid w:val="79157A6A"/>
    <w:rsid w:val="7A084F9B"/>
    <w:rsid w:val="7B4E089E"/>
    <w:rsid w:val="7B5F5634"/>
    <w:rsid w:val="7B8F4C4D"/>
    <w:rsid w:val="7C80728A"/>
    <w:rsid w:val="7D0C4FAB"/>
    <w:rsid w:val="7D5872D7"/>
    <w:rsid w:val="7EBD61D5"/>
    <w:rsid w:val="7F9645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徐媛媛</cp:lastModifiedBy>
  <dcterms:modified xsi:type="dcterms:W3CDTF">2021-09-16T02:13:35Z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2A2D588A3E454D9B965C483C5270E208</vt:lpwstr>
  </property>
</Properties>
</file>