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eastAsia="宋体" w:cs="黑体"/>
          <w:b/>
          <w:color w:val="auto"/>
          <w:spacing w:val="170"/>
          <w:kern w:val="0"/>
          <w:sz w:val="84"/>
          <w:szCs w:val="84"/>
          <w:highlight w:val="none"/>
          <w:lang w:eastAsia="zh-CN"/>
        </w:rPr>
      </w:pPr>
    </w:p>
    <w:p>
      <w:pPr>
        <w:adjustRightInd w:val="0"/>
        <w:snapToGrid w:val="0"/>
        <w:spacing w:line="800" w:lineRule="exact"/>
        <w:rPr>
          <w:rFonts w:hint="eastAsia" w:ascii="宋体" w:hAnsi="宋体" w:cs="宋体"/>
          <w:color w:val="auto"/>
          <w:sz w:val="44"/>
          <w:szCs w:val="4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SYZB-SJ-2021007</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噪声自动监测站仪器设备采购项目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常州环保服务有限公司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九</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第二章  谈判响应文件的组成…………………………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20-24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26-31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32</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噪声自动监测站仪器设备采购项目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798"/>
      <w:bookmarkStart w:id="5" w:name="_Toc28359089"/>
      <w:bookmarkStart w:id="6" w:name="_Toc28359012"/>
      <w:bookmarkStart w:id="7" w:name="_Toc3539362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噪声自动监测站仪器设备采购项目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2021年9月30</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SYZB-SJ-2021007</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噪声自动监测站仪器设备采购项目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b w:val="0"/>
          <w:bCs w:val="0"/>
          <w:color w:val="auto"/>
          <w:szCs w:val="21"/>
          <w:highlight w:val="none"/>
          <w:lang w:val="en-US" w:eastAsia="zh-CN"/>
        </w:rPr>
      </w:pPr>
      <w:r>
        <w:rPr>
          <w:rFonts w:hint="eastAsia" w:cs="宋体" w:asciiTheme="minorEastAsia" w:hAnsiTheme="minorEastAsia" w:eastAsiaTheme="minorEastAsia"/>
          <w:b w:val="0"/>
          <w:bCs w:val="0"/>
          <w:color w:val="auto"/>
          <w:szCs w:val="21"/>
          <w:highlight w:val="none"/>
        </w:rPr>
        <w:t>预算金额：</w:t>
      </w:r>
      <w:r>
        <w:rPr>
          <w:rFonts w:hint="eastAsia" w:cs="宋体" w:asciiTheme="minorEastAsia" w:hAnsiTheme="minorEastAsia" w:eastAsiaTheme="minorEastAsia"/>
          <w:b w:val="0"/>
          <w:bCs w:val="0"/>
          <w:color w:val="auto"/>
          <w:szCs w:val="21"/>
          <w:highlight w:val="none"/>
          <w:lang w:val="en-US" w:eastAsia="zh-CN"/>
        </w:rPr>
        <w:t>43万元</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最高限价：</w:t>
      </w:r>
      <w:r>
        <w:rPr>
          <w:rFonts w:hint="eastAsia" w:cs="宋体" w:asciiTheme="minorEastAsia" w:hAnsiTheme="minorEastAsia" w:eastAsiaTheme="minorEastAsia"/>
          <w:b w:val="0"/>
          <w:bCs w:val="0"/>
          <w:color w:val="auto"/>
          <w:szCs w:val="21"/>
          <w:highlight w:val="none"/>
          <w:lang w:val="en-US" w:eastAsia="zh-CN"/>
        </w:rPr>
        <w:t>43万元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噪声自动监测站仪器设备采购项目</w:t>
      </w:r>
      <w:r>
        <w:rPr>
          <w:rFonts w:hint="eastAsia" w:cs="宋体" w:asciiTheme="minorEastAsia" w:hAnsiTheme="minorEastAsia" w:eastAsiaTheme="minorEastAsia"/>
          <w:color w:val="auto"/>
          <w:szCs w:val="21"/>
          <w:highlight w:val="none"/>
        </w:rPr>
        <w:t>，内容包括但不限于设备的采购、运输、装卸、安装、调试、测试、技术培训等，直至通过采购人及其他相关部门的验收以及质量保修、免费维保等全部工作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ascii="宋体" w:hAnsi="宋体" w:cs="宋体"/>
          <w:bCs/>
          <w:color w:val="auto"/>
          <w:szCs w:val="21"/>
          <w:highlight w:val="none"/>
        </w:rPr>
        <w:t>自合同签订之日起</w:t>
      </w:r>
      <w:r>
        <w:rPr>
          <w:rFonts w:hint="eastAsia" w:ascii="宋体" w:hAnsi="宋体" w:cs="宋体"/>
          <w:bCs/>
          <w:color w:val="auto"/>
          <w:szCs w:val="21"/>
          <w:highlight w:val="none"/>
          <w:lang w:val="en-US" w:eastAsia="zh-CN"/>
        </w:rPr>
        <w:t>60天</w:t>
      </w:r>
      <w:r>
        <w:rPr>
          <w:rFonts w:hint="eastAsia" w:ascii="宋体" w:hAnsi="宋体" w:cs="宋体"/>
          <w:bCs/>
          <w:color w:val="auto"/>
          <w:szCs w:val="21"/>
          <w:highlight w:val="none"/>
        </w:rPr>
        <w:t>内交货并安装调试完毕。</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接受联合体投标。</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90"/>
      <w:bookmarkStart w:id="9" w:name="_Toc35393630"/>
      <w:bookmarkStart w:id="10" w:name="_Toc35393799"/>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2021年9月23</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92"/>
      <w:bookmarkStart w:id="17" w:name="_Toc35393632"/>
      <w:bookmarkStart w:id="18" w:name="_Toc28359015"/>
      <w:bookmarkStart w:id="19" w:name="_Toc35393801"/>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2021年9月30</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10</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35393634"/>
      <w:bookmarkStart w:id="22" w:name="_Toc28359017"/>
      <w:bookmarkStart w:id="23" w:name="_Toc2835909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（2）标前答疑</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color w:val="auto"/>
          <w:szCs w:val="21"/>
          <w:highlight w:val="none"/>
        </w:rPr>
        <w:t>人民币</w:t>
      </w:r>
      <w:r>
        <w:rPr>
          <w:rFonts w:hint="eastAsia" w:cs="宋体" w:asciiTheme="minorEastAsia" w:hAnsiTheme="minorEastAsia" w:eastAsiaTheme="minorEastAsia"/>
          <w:b/>
          <w:color w:val="auto"/>
          <w:szCs w:val="21"/>
          <w:highlight w:val="none"/>
          <w:lang w:val="en-US" w:eastAsia="zh-CN"/>
        </w:rPr>
        <w:t>捌仟元</w:t>
      </w:r>
      <w:r>
        <w:rPr>
          <w:rFonts w:hint="eastAsia" w:cs="宋体" w:asciiTheme="minorEastAsia" w:hAnsiTheme="minorEastAsia" w:eastAsiaTheme="minorEastAsia"/>
          <w:b/>
          <w:color w:val="auto"/>
          <w:szCs w:val="21"/>
          <w:highlight w:val="none"/>
        </w:rPr>
        <w:t>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到帐截止日期：2021年9月28日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95"/>
      <w:bookmarkStart w:id="27" w:name="_Toc28359018"/>
      <w:bookmarkStart w:id="28" w:name="_Toc35393805"/>
      <w:bookmarkStart w:id="29" w:name="_Toc35393636"/>
      <w:r>
        <w:rPr>
          <w:rFonts w:hint="eastAsia" w:cs="宋体" w:asciiTheme="minorEastAsia" w:hAnsiTheme="minorEastAsia" w:eastAsiaTheme="minorEastAsia"/>
          <w:color w:val="auto"/>
          <w:szCs w:val="21"/>
          <w:highlight w:val="none"/>
          <w:lang w:eastAsia="zh-CN"/>
        </w:rPr>
        <w:t>各供应商应只安排1名代表现场投标。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637"/>
      <w:bookmarkStart w:id="31" w:name="_Toc28359019"/>
      <w:bookmarkStart w:id="32" w:name="_Toc35393806"/>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34" w:name="_Toc35393638"/>
      <w:bookmarkStart w:id="35" w:name="_Toc28359020"/>
      <w:bookmarkStart w:id="36" w:name="_Toc28359097"/>
      <w:bookmarkStart w:id="37" w:name="_Toc35393807"/>
      <w:r>
        <w:rPr>
          <w:rFonts w:hint="eastAsia" w:cs="宋体" w:asciiTheme="minorEastAsia" w:hAnsiTheme="minorEastAsia" w:eastAsiaTheme="minorEastAsia"/>
          <w:color w:val="auto"/>
          <w:szCs w:val="21"/>
          <w:highlight w:val="none"/>
          <w:lang w:eastAsia="zh-CN"/>
        </w:rPr>
        <w:t>采购人</w:t>
      </w: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常州环保服务有限公司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联系人：霍超男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联系电话：15961221807</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联系地址：</w:t>
      </w:r>
      <w:r>
        <w:rPr>
          <w:rFonts w:hint="eastAsia" w:ascii="宋体" w:hAnsi="宋体"/>
          <w:color w:val="auto"/>
          <w:spacing w:val="2"/>
          <w:szCs w:val="21"/>
          <w:highlight w:val="none"/>
        </w:rPr>
        <w:t>新北区衡山路18号嘉新花苑裙房西侧一层</w:t>
      </w:r>
      <w:bookmarkStart w:id="43" w:name="_GoBack"/>
      <w:bookmarkEnd w:id="4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35393639"/>
      <w:bookmarkStart w:id="39" w:name="_Toc35393808"/>
      <w:bookmarkStart w:id="40" w:name="_Toc28359098"/>
      <w:bookmarkStart w:id="41" w:name="_Toc28359021"/>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项目联系人：</w:t>
      </w:r>
      <w:r>
        <w:rPr>
          <w:rFonts w:hint="eastAsia" w:cs="宋体" w:asciiTheme="minorEastAsia" w:hAnsiTheme="minorEastAsia" w:eastAsiaTheme="minorEastAsia"/>
          <w:color w:val="auto"/>
          <w:szCs w:val="21"/>
          <w:highlight w:val="none"/>
          <w:lang w:val="en-US" w:eastAsia="zh-CN"/>
        </w:rPr>
        <w:t>王涛</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val="en-US" w:eastAsia="zh-CN"/>
        </w:rPr>
        <w:t>13775112780</w:t>
      </w:r>
    </w:p>
    <w:bookmarkEnd w:id="2"/>
    <w:bookmarkEnd w:id="3"/>
    <w:p>
      <w:pPr>
        <w:snapToGrid w:val="0"/>
        <w:spacing w:line="360" w:lineRule="auto"/>
        <w:jc w:val="left"/>
        <w:rPr>
          <w:rFonts w:hint="eastAsia" w:ascii="宋体" w:hAnsi="宋体"/>
          <w:color w:val="auto"/>
          <w:szCs w:val="21"/>
          <w:highlight w:val="none"/>
        </w:rPr>
      </w:pPr>
    </w:p>
    <w:p>
      <w:pPr>
        <w:rPr>
          <w:rFonts w:hint="eastAsia" w:ascii="宋体" w:hAnsi="宋体"/>
          <w:color w:val="auto"/>
          <w:szCs w:val="21"/>
          <w:highlight w:val="none"/>
        </w:rPr>
      </w:pPr>
      <w:r>
        <w:rPr>
          <w:rFonts w:hint="eastAsia" w:ascii="宋体" w:hAnsi="宋体"/>
          <w:color w:val="auto"/>
          <w:szCs w:val="21"/>
          <w:highlight w:val="none"/>
        </w:rPr>
        <w:br w:type="page"/>
      </w: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的投标报名工作。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rPr>
              <w:t>招投标过程中答疑补充等相关文件都及时关注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投标</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16.2.6谈判小组决定投标的响应性只根据谈判响应文件本身的内容，而不寻求外部的证据；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评委</w:t>
      </w:r>
      <w:r>
        <w:rPr>
          <w:rFonts w:hint="eastAsia" w:cs="宋体" w:asciiTheme="minorEastAsia" w:hAnsiTheme="minorEastAsia" w:eastAsiaTheme="minorEastAsia"/>
          <w:color w:val="auto"/>
          <w:sz w:val="21"/>
          <w:szCs w:val="21"/>
          <w:highlight w:val="none"/>
        </w:rPr>
        <w:t>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投标</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lang w:eastAsia="zh-CN"/>
        </w:rPr>
        <w:t>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.供应商需按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spacing w:line="38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rPr>
        <w:t>一</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内容</w:t>
      </w:r>
    </w:p>
    <w:p>
      <w:pPr>
        <w:spacing w:line="360" w:lineRule="exact"/>
        <w:ind w:right="210" w:firstLine="420" w:firstLineChars="200"/>
        <w:jc w:val="left"/>
        <w:rPr>
          <w:rFonts w:ascii="宋体" w:hAnsi="宋体" w:cs="宋体"/>
          <w:color w:val="auto"/>
          <w:szCs w:val="21"/>
          <w:highlight w:val="none"/>
        </w:rPr>
      </w:pPr>
      <w:r>
        <w:rPr>
          <w:rFonts w:hint="eastAsia" w:cs="宋体" w:asciiTheme="minorEastAsia" w:hAnsiTheme="minorEastAsia" w:eastAsiaTheme="minorEastAsia"/>
          <w:color w:val="auto"/>
          <w:szCs w:val="21"/>
          <w:highlight w:val="none"/>
        </w:rPr>
        <w:t>本项目是</w:t>
      </w:r>
      <w:r>
        <w:rPr>
          <w:rFonts w:hint="eastAsia" w:cs="宋体" w:asciiTheme="minorEastAsia" w:hAnsiTheme="minorEastAsia" w:eastAsiaTheme="minorEastAsia"/>
          <w:color w:val="auto"/>
          <w:szCs w:val="21"/>
          <w:highlight w:val="none"/>
          <w:lang w:eastAsia="zh-CN"/>
        </w:rPr>
        <w:t>噪声自动监测站仪器设备采购项目</w:t>
      </w:r>
      <w:r>
        <w:rPr>
          <w:rFonts w:hint="eastAsia" w:cs="宋体" w:asciiTheme="minorEastAsia" w:hAnsiTheme="minorEastAsia" w:eastAsiaTheme="minorEastAsia"/>
          <w:color w:val="auto"/>
          <w:szCs w:val="21"/>
          <w:highlight w:val="none"/>
        </w:rPr>
        <w:t>，内容包括但不限于设备的采购、运输、装卸、安装、调试、测试、技术培训等，直至通过采购人及其他相关部门的验收以及质量保修、免费维保等全部工作</w:t>
      </w:r>
      <w:r>
        <w:rPr>
          <w:rFonts w:hint="eastAsia" w:cs="宋体" w:asciiTheme="minorEastAsia" w:hAnsiTheme="minorEastAsia" w:eastAsiaTheme="minorEastAsia"/>
          <w:color w:val="auto"/>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211" w:firstLineChars="10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二、总体要求</w:t>
      </w:r>
    </w:p>
    <w:p>
      <w:pPr>
        <w:keepNext w:val="0"/>
        <w:keepLines w:val="0"/>
        <w:pageBreakBefore w:val="0"/>
        <w:kinsoku/>
        <w:wordWrap/>
        <w:overflowPunct/>
        <w:topLinePunct w:val="0"/>
        <w:autoSpaceDE/>
        <w:autoSpaceDN/>
        <w:bidi w:val="0"/>
        <w:adjustRightInd/>
        <w:spacing w:line="360" w:lineRule="exact"/>
        <w:ind w:right="21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应提供所代表品牌厂商原装、全新的、符合国家及</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提出的有关质量标准的仪器和设备。</w:t>
      </w:r>
    </w:p>
    <w:p>
      <w:pPr>
        <w:keepNext w:val="0"/>
        <w:keepLines w:val="0"/>
        <w:pageBreakBefore w:val="0"/>
        <w:kinsoku/>
        <w:wordWrap/>
        <w:overflowPunct/>
        <w:topLinePunct w:val="0"/>
        <w:autoSpaceDE/>
        <w:autoSpaceDN/>
        <w:bidi w:val="0"/>
        <w:adjustRightInd/>
        <w:spacing w:line="360" w:lineRule="exact"/>
        <w:ind w:right="21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（2）所提供的仪器设备的性能应达到或优于参考指标表中所列技术指标。</w:t>
      </w:r>
    </w:p>
    <w:p>
      <w:pPr>
        <w:keepNext w:val="0"/>
        <w:keepLines w:val="0"/>
        <w:pageBreakBefore w:val="0"/>
        <w:kinsoku/>
        <w:wordWrap/>
        <w:overflowPunct/>
        <w:topLinePunct w:val="0"/>
        <w:autoSpaceDE/>
        <w:autoSpaceDN/>
        <w:bidi w:val="0"/>
        <w:adjustRightInd/>
        <w:spacing w:line="360" w:lineRule="exact"/>
        <w:ind w:right="21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（3）所提供的任何设备必须直接来源于原生产厂家并有原生产厂家质量合格证明和原生产厂家保修证明文件</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成交供应商应提供相应材料，否则采购人有权解除合同</w:t>
      </w:r>
      <w:r>
        <w:rPr>
          <w:rFonts w:hint="eastAsia" w:asciiTheme="minorEastAsia" w:hAnsiTheme="minorEastAsia" w:eastAsiaTheme="minorEastAsia" w:cstheme="minorEastAsia"/>
          <w:color w:val="auto"/>
          <w:sz w:val="21"/>
          <w:szCs w:val="21"/>
          <w:highlight w:val="none"/>
        </w:rPr>
        <w:t>。</w:t>
      </w:r>
    </w:p>
    <w:p>
      <w:pPr>
        <w:spacing w:line="380" w:lineRule="exact"/>
        <w:ind w:right="210" w:firstLine="422" w:firstLineChars="200"/>
        <w:jc w:val="left"/>
        <w:rPr>
          <w:rFonts w:hint="eastAsia" w:ascii="宋体" w:hAnsi="宋体" w:cs="宋体"/>
          <w:b w:val="0"/>
          <w:bCs w:val="0"/>
          <w:color w:val="auto"/>
          <w:szCs w:val="21"/>
          <w:highlight w:val="none"/>
          <w:u w:val="none"/>
          <w:lang w:eastAsia="zh-CN"/>
        </w:rPr>
      </w:pPr>
      <w:r>
        <w:rPr>
          <w:rFonts w:hint="eastAsia" w:asciiTheme="minorEastAsia" w:hAnsiTheme="minorEastAsia" w:eastAsiaTheme="minorEastAsia" w:cstheme="minorEastAsia"/>
          <w:b/>
          <w:bCs/>
          <w:color w:val="auto"/>
          <w:sz w:val="21"/>
          <w:szCs w:val="21"/>
          <w:highlight w:val="none"/>
        </w:rPr>
        <w:t>（4）</w:t>
      </w:r>
      <w:r>
        <w:rPr>
          <w:rFonts w:hint="eastAsia" w:asciiTheme="minorEastAsia" w:hAnsiTheme="minorEastAsia" w:eastAsiaTheme="minorEastAsia" w:cstheme="minorEastAsia"/>
          <w:b/>
          <w:bCs/>
          <w:color w:val="auto"/>
          <w:sz w:val="21"/>
          <w:szCs w:val="21"/>
          <w:highlight w:val="none"/>
          <w:lang w:val="en-US" w:eastAsia="zh-CN"/>
        </w:rPr>
        <w:t>供应商须承诺</w:t>
      </w:r>
      <w:r>
        <w:rPr>
          <w:rFonts w:hint="eastAsia" w:asciiTheme="minorEastAsia" w:hAnsiTheme="minorEastAsia" w:eastAsiaTheme="minorEastAsia" w:cstheme="minorEastAsia"/>
          <w:b/>
          <w:bCs/>
          <w:color w:val="auto"/>
          <w:sz w:val="21"/>
          <w:szCs w:val="21"/>
          <w:highlight w:val="none"/>
        </w:rPr>
        <w:t>提供长期技术服务及备品备件供应</w:t>
      </w:r>
      <w:r>
        <w:rPr>
          <w:rFonts w:hint="eastAsia" w:asciiTheme="minorEastAsia" w:hAnsiTheme="minorEastAsia" w:eastAsiaTheme="minorEastAsia" w:cstheme="minorEastAsia"/>
          <w:b/>
          <w:bCs/>
          <w:color w:val="auto"/>
          <w:sz w:val="21"/>
          <w:szCs w:val="21"/>
          <w:highlight w:val="none"/>
          <w:lang w:val="en-US" w:eastAsia="zh-CN"/>
        </w:rPr>
        <w:t>。供应商须提供加盖供应商公章的承诺函，否则视为无效响应。</w:t>
      </w:r>
    </w:p>
    <w:p>
      <w:pPr>
        <w:spacing w:line="38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lang w:val="en-US" w:eastAsia="zh-CN"/>
        </w:rPr>
        <w:t>三</w:t>
      </w:r>
      <w:r>
        <w:rPr>
          <w:rFonts w:ascii="宋体" w:hAnsi="宋体" w:cs="宋体"/>
          <w:b/>
          <w:color w:val="auto"/>
          <w:szCs w:val="21"/>
          <w:highlight w:val="none"/>
        </w:rPr>
        <w:t>、</w:t>
      </w:r>
      <w:r>
        <w:rPr>
          <w:rFonts w:hint="eastAsia" w:ascii="宋体" w:hAnsi="宋体" w:cs="宋体"/>
          <w:b/>
          <w:color w:val="auto"/>
          <w:szCs w:val="21"/>
          <w:highlight w:val="none"/>
        </w:rPr>
        <w:t>采购</w:t>
      </w:r>
      <w:r>
        <w:rPr>
          <w:rFonts w:ascii="宋体" w:hAnsi="宋体" w:cs="宋体"/>
          <w:b/>
          <w:color w:val="auto"/>
          <w:szCs w:val="21"/>
          <w:highlight w:val="none"/>
        </w:rPr>
        <w:t>清单</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4494"/>
        <w:gridCol w:w="1307"/>
        <w:gridCol w:w="13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28" w:type="pct"/>
            <w:tcBorders>
              <w:top w:val="single" w:color="auto" w:sz="12" w:space="0"/>
              <w:bottom w:val="single" w:color="auto" w:sz="4" w:space="0"/>
            </w:tcBorders>
            <w:shd w:val="clear" w:color="auto" w:fill="D9D9D9"/>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2637" w:type="pct"/>
            <w:tcBorders>
              <w:top w:val="single" w:color="auto" w:sz="12" w:space="0"/>
              <w:bottom w:val="single" w:color="auto" w:sz="4" w:space="0"/>
            </w:tcBorders>
            <w:shd w:val="clear" w:color="auto" w:fill="D9D9D9"/>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货物名称</w:t>
            </w:r>
          </w:p>
        </w:tc>
        <w:tc>
          <w:tcPr>
            <w:tcW w:w="767" w:type="pct"/>
            <w:tcBorders>
              <w:top w:val="single" w:color="auto" w:sz="12" w:space="0"/>
              <w:bottom w:val="single" w:color="auto" w:sz="4" w:space="0"/>
            </w:tcBorders>
            <w:shd w:val="clear" w:color="auto" w:fill="D9D9D9"/>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color w:val="auto"/>
                <w:kern w:val="2"/>
                <w:sz w:val="21"/>
                <w:szCs w:val="21"/>
                <w:lang w:val="en-US" w:eastAsia="zh-CN" w:bidi="ar-SA"/>
              </w:rPr>
            </w:pPr>
            <w:r>
              <w:rPr>
                <w:rFonts w:hint="eastAsia" w:asciiTheme="minorEastAsia" w:hAnsiTheme="minorEastAsia" w:eastAsiaTheme="minorEastAsia" w:cstheme="minorEastAsia"/>
                <w:b/>
                <w:color w:val="auto"/>
                <w:sz w:val="21"/>
                <w:szCs w:val="21"/>
              </w:rPr>
              <w:t>数量</w:t>
            </w:r>
          </w:p>
        </w:tc>
        <w:tc>
          <w:tcPr>
            <w:tcW w:w="767" w:type="pct"/>
            <w:tcBorders>
              <w:top w:val="single" w:color="auto" w:sz="12" w:space="0"/>
              <w:bottom w:val="single" w:color="auto" w:sz="4" w:space="0"/>
            </w:tcBorders>
            <w:shd w:val="clear" w:color="auto" w:fill="D9D9D9"/>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28"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3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kern w:val="0"/>
                <w:sz w:val="21"/>
                <w:szCs w:val="21"/>
              </w:rPr>
              <w:t>噪声自动监测子站</w:t>
            </w:r>
          </w:p>
        </w:tc>
        <w:tc>
          <w:tcPr>
            <w:tcW w:w="76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sz w:val="21"/>
                <w:szCs w:val="21"/>
              </w:rPr>
              <w:t>3</w:t>
            </w:r>
          </w:p>
        </w:tc>
        <w:tc>
          <w:tcPr>
            <w:tcW w:w="76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28"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3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气象自动监测仪</w:t>
            </w:r>
          </w:p>
        </w:tc>
        <w:tc>
          <w:tcPr>
            <w:tcW w:w="76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sz w:val="21"/>
                <w:szCs w:val="21"/>
              </w:rPr>
              <w:t>2</w:t>
            </w:r>
          </w:p>
        </w:tc>
        <w:tc>
          <w:tcPr>
            <w:tcW w:w="76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28"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63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设备安装调试及系统集成</w:t>
            </w:r>
          </w:p>
        </w:tc>
        <w:tc>
          <w:tcPr>
            <w:tcW w:w="76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b/>
                <w:sz w:val="21"/>
                <w:szCs w:val="21"/>
              </w:rPr>
              <w:t>1</w:t>
            </w:r>
          </w:p>
        </w:tc>
        <w:tc>
          <w:tcPr>
            <w:tcW w:w="76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28"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637" w:type="pct"/>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设备搬迁</w:t>
            </w:r>
          </w:p>
        </w:tc>
        <w:tc>
          <w:tcPr>
            <w:tcW w:w="76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b/>
                <w:kern w:val="0"/>
                <w:sz w:val="21"/>
                <w:szCs w:val="21"/>
              </w:rPr>
              <w:t>1</w:t>
            </w:r>
          </w:p>
        </w:tc>
        <w:tc>
          <w:tcPr>
            <w:tcW w:w="767"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sz w:val="21"/>
                <w:szCs w:val="21"/>
              </w:rPr>
              <w:t>项</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211" w:firstLineChars="10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四、总体技术要求</w:t>
      </w:r>
    </w:p>
    <w:p>
      <w:pPr>
        <w:keepNext w:val="0"/>
        <w:keepLines w:val="0"/>
        <w:pageBreakBefore w:val="0"/>
        <w:numPr>
          <w:ilvl w:val="0"/>
          <w:numId w:val="0"/>
        </w:numPr>
        <w:tabs>
          <w:tab w:val="left" w:pos="567"/>
        </w:tabs>
        <w:kinsoku/>
        <w:wordWrap/>
        <w:overflowPunct/>
        <w:topLinePunct w:val="0"/>
        <w:autoSpaceDE/>
        <w:autoSpaceDN/>
        <w:bidi w:val="0"/>
        <w:adjustRightInd/>
        <w:snapToGrid/>
        <w:spacing w:line="360" w:lineRule="exact"/>
        <w:ind w:leftChars="0" w:firstLine="210" w:firstLineChars="100"/>
        <w:textAlignment w:val="auto"/>
        <w:rPr>
          <w:rFonts w:ascii="宋体" w:hAnsi="宋体"/>
          <w:sz w:val="21"/>
          <w:szCs w:val="21"/>
        </w:rPr>
      </w:pPr>
      <w:r>
        <w:rPr>
          <w:rFonts w:hint="eastAsia" w:ascii="宋体" w:hAnsi="宋体"/>
          <w:sz w:val="21"/>
          <w:szCs w:val="21"/>
          <w:lang w:val="en-US" w:eastAsia="zh-CN"/>
        </w:rPr>
        <w:t>1.</w:t>
      </w:r>
      <w:r>
        <w:rPr>
          <w:rFonts w:ascii="宋体" w:hAnsi="宋体"/>
          <w:sz w:val="21"/>
          <w:szCs w:val="21"/>
        </w:rPr>
        <w:t>监测项目</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1</w:t>
      </w:r>
      <w:r>
        <w:rPr>
          <w:rFonts w:hint="eastAsia" w:ascii="宋体" w:hAnsi="宋体"/>
          <w:sz w:val="21"/>
          <w:szCs w:val="21"/>
          <w:lang w:eastAsia="zh-CN"/>
        </w:rPr>
        <w:t>）</w:t>
      </w:r>
      <w:r>
        <w:rPr>
          <w:rFonts w:ascii="宋体" w:hAnsi="宋体"/>
          <w:sz w:val="21"/>
          <w:szCs w:val="21"/>
        </w:rPr>
        <w:t>监测点任意监测时间段的Leq，Lp，L</w:t>
      </w:r>
      <w:r>
        <w:rPr>
          <w:rFonts w:hint="eastAsia" w:ascii="宋体" w:hAnsi="宋体"/>
          <w:sz w:val="21"/>
          <w:szCs w:val="21"/>
        </w:rPr>
        <w:t>zf</w:t>
      </w:r>
      <w:r>
        <w:rPr>
          <w:rFonts w:ascii="宋体" w:hAnsi="宋体"/>
          <w:sz w:val="21"/>
          <w:szCs w:val="21"/>
        </w:rPr>
        <w:t>，Ln（5，10，50，90……），Lmin，Lmax，Ld，Ln，Ldn等，频率计权包括A计权、C计权Z计权和线性，时间计权包括快挡、慢档和脉冲，记录间隔最小为以0.5秒或1秒为积分单位持续时间的A计权等效声级Laeq（1s）</w:t>
      </w:r>
      <w:r>
        <w:rPr>
          <w:rFonts w:hint="eastAsia" w:ascii="宋体" w:hAnsi="宋体"/>
          <w:sz w:val="21"/>
          <w:szCs w:val="21"/>
          <w:lang w:eastAsia="zh-CN"/>
        </w:rPr>
        <w:t>。</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w:t>
      </w:r>
      <w:r>
        <w:rPr>
          <w:rFonts w:ascii="宋体" w:hAnsi="宋体"/>
          <w:sz w:val="21"/>
          <w:szCs w:val="21"/>
        </w:rPr>
        <w:t>监测点的噪声源，进行噪声事件录音，形成声音数据文件</w:t>
      </w:r>
      <w:r>
        <w:rPr>
          <w:rFonts w:hint="eastAsia" w:ascii="宋体" w:hAnsi="宋体"/>
          <w:sz w:val="21"/>
          <w:szCs w:val="21"/>
          <w:lang w:eastAsia="zh-CN"/>
        </w:rPr>
        <w:t>。</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3</w:t>
      </w:r>
      <w:r>
        <w:rPr>
          <w:rFonts w:hint="eastAsia" w:ascii="宋体" w:hAnsi="宋体"/>
          <w:sz w:val="21"/>
          <w:szCs w:val="21"/>
          <w:lang w:eastAsia="zh-CN"/>
        </w:rPr>
        <w:t>）</w:t>
      </w:r>
      <w:r>
        <w:rPr>
          <w:rFonts w:ascii="宋体" w:hAnsi="宋体"/>
          <w:sz w:val="21"/>
          <w:szCs w:val="21"/>
        </w:rPr>
        <w:t>监测点的风速、风向、气温、湿度、气压、降雨量。</w:t>
      </w:r>
    </w:p>
    <w:p>
      <w:pPr>
        <w:keepNext w:val="0"/>
        <w:keepLines w:val="0"/>
        <w:pageBreakBefore w:val="0"/>
        <w:numPr>
          <w:ilvl w:val="0"/>
          <w:numId w:val="0"/>
        </w:numPr>
        <w:tabs>
          <w:tab w:val="left" w:pos="567"/>
        </w:tabs>
        <w:kinsoku/>
        <w:wordWrap/>
        <w:overflowPunct/>
        <w:topLinePunct w:val="0"/>
        <w:autoSpaceDE/>
        <w:autoSpaceDN/>
        <w:bidi w:val="0"/>
        <w:adjustRightInd/>
        <w:snapToGrid/>
        <w:spacing w:line="360" w:lineRule="exact"/>
        <w:ind w:leftChars="0" w:firstLine="210" w:firstLineChars="100"/>
        <w:textAlignment w:val="auto"/>
        <w:rPr>
          <w:rFonts w:ascii="宋体" w:hAnsi="宋体"/>
          <w:sz w:val="21"/>
          <w:szCs w:val="21"/>
        </w:rPr>
      </w:pPr>
      <w:r>
        <w:rPr>
          <w:rFonts w:hint="eastAsia" w:ascii="宋体" w:hAnsi="宋体"/>
          <w:sz w:val="21"/>
          <w:szCs w:val="21"/>
          <w:lang w:val="en-US" w:eastAsia="zh-CN"/>
        </w:rPr>
        <w:t>2.</w:t>
      </w:r>
      <w:r>
        <w:rPr>
          <w:rFonts w:ascii="宋体" w:hAnsi="宋体"/>
          <w:sz w:val="21"/>
          <w:szCs w:val="21"/>
        </w:rPr>
        <w:t>数据传输</w:t>
      </w:r>
    </w:p>
    <w:p>
      <w:pPr>
        <w:keepNext w:val="0"/>
        <w:keepLines w:val="0"/>
        <w:pageBreakBefore w:val="0"/>
        <w:kinsoku/>
        <w:wordWrap/>
        <w:overflowPunct/>
        <w:topLinePunct w:val="0"/>
        <w:autoSpaceDE/>
        <w:autoSpaceDN/>
        <w:bidi w:val="0"/>
        <w:adjustRightInd/>
        <w:snapToGrid/>
        <w:spacing w:line="360" w:lineRule="exact"/>
        <w:ind w:firstLine="210" w:firstLineChars="100"/>
        <w:textAlignment w:val="auto"/>
        <w:rPr>
          <w:rFonts w:ascii="宋体" w:hAnsi="宋体"/>
          <w:sz w:val="21"/>
          <w:szCs w:val="21"/>
        </w:rPr>
      </w:pPr>
      <w:r>
        <w:rPr>
          <w:rFonts w:ascii="宋体" w:hAnsi="宋体"/>
          <w:sz w:val="21"/>
          <w:szCs w:val="21"/>
        </w:rPr>
        <w:t>各类数据能根据设定的要求通过通信网络实时、准确、完整地传输，并具有到达确认和自动校核功能。</w:t>
      </w:r>
    </w:p>
    <w:p>
      <w:pPr>
        <w:keepNext w:val="0"/>
        <w:keepLines w:val="0"/>
        <w:pageBreakBefore w:val="0"/>
        <w:numPr>
          <w:ilvl w:val="0"/>
          <w:numId w:val="0"/>
        </w:numPr>
        <w:tabs>
          <w:tab w:val="left" w:pos="567"/>
        </w:tabs>
        <w:kinsoku/>
        <w:wordWrap/>
        <w:overflowPunct/>
        <w:topLinePunct w:val="0"/>
        <w:autoSpaceDE/>
        <w:autoSpaceDN/>
        <w:bidi w:val="0"/>
        <w:adjustRightInd/>
        <w:snapToGrid/>
        <w:spacing w:line="360" w:lineRule="exact"/>
        <w:ind w:leftChars="0" w:firstLine="210" w:firstLineChars="100"/>
        <w:textAlignment w:val="auto"/>
        <w:rPr>
          <w:rFonts w:ascii="宋体" w:hAnsi="宋体"/>
          <w:sz w:val="21"/>
          <w:szCs w:val="21"/>
        </w:rPr>
      </w:pPr>
      <w:r>
        <w:rPr>
          <w:rFonts w:hint="eastAsia" w:ascii="宋体" w:hAnsi="宋体"/>
          <w:sz w:val="21"/>
          <w:szCs w:val="21"/>
          <w:lang w:val="en-US" w:eastAsia="zh-CN"/>
        </w:rPr>
        <w:t>3.</w:t>
      </w:r>
      <w:r>
        <w:rPr>
          <w:rFonts w:ascii="宋体" w:hAnsi="宋体"/>
          <w:sz w:val="21"/>
          <w:szCs w:val="21"/>
        </w:rPr>
        <w:t>数据处理</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1</w:t>
      </w:r>
      <w:r>
        <w:rPr>
          <w:rFonts w:hint="eastAsia" w:ascii="宋体" w:hAnsi="宋体"/>
          <w:sz w:val="21"/>
          <w:szCs w:val="21"/>
          <w:lang w:eastAsia="zh-CN"/>
        </w:rPr>
        <w:t>）</w:t>
      </w:r>
      <w:r>
        <w:rPr>
          <w:rFonts w:ascii="宋体" w:hAnsi="宋体"/>
          <w:sz w:val="21"/>
          <w:szCs w:val="21"/>
        </w:rPr>
        <w:t>各类数据能根据环境管理的要求进行储存、汇总、统计、分析和评价</w:t>
      </w:r>
      <w:r>
        <w:rPr>
          <w:rFonts w:hint="eastAsia" w:ascii="宋体" w:hAnsi="宋体"/>
          <w:sz w:val="21"/>
          <w:szCs w:val="21"/>
          <w:lang w:eastAsia="zh-CN"/>
        </w:rPr>
        <w:t>。</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2</w:t>
      </w:r>
      <w:r>
        <w:rPr>
          <w:rFonts w:hint="eastAsia" w:ascii="宋体" w:hAnsi="宋体"/>
          <w:sz w:val="21"/>
          <w:szCs w:val="21"/>
          <w:lang w:eastAsia="zh-CN"/>
        </w:rPr>
        <w:t>）</w:t>
      </w:r>
      <w:r>
        <w:rPr>
          <w:rFonts w:ascii="宋体" w:hAnsi="宋体"/>
          <w:sz w:val="21"/>
          <w:szCs w:val="21"/>
        </w:rPr>
        <w:t>建立环境噪声信息数据库，监测数据纳入环境质量管理信息系统等不同数据平台</w:t>
      </w:r>
      <w:r>
        <w:rPr>
          <w:rFonts w:hint="eastAsia" w:ascii="宋体" w:hAnsi="宋体"/>
          <w:sz w:val="21"/>
          <w:szCs w:val="21"/>
          <w:lang w:eastAsia="zh-CN"/>
        </w:rPr>
        <w:t>。</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hint="eastAsia" w:ascii="宋体" w:hAnsi="宋体" w:eastAsia="宋体"/>
          <w:sz w:val="21"/>
          <w:szCs w:val="21"/>
          <w:lang w:eastAsia="zh-CN"/>
        </w:rPr>
      </w:pPr>
      <w:r>
        <w:rPr>
          <w:rFonts w:hint="eastAsia" w:ascii="宋体" w:hAnsi="宋体"/>
          <w:sz w:val="21"/>
          <w:szCs w:val="21"/>
          <w:lang w:eastAsia="zh-CN"/>
        </w:rPr>
        <w:t>（</w:t>
      </w:r>
      <w:r>
        <w:rPr>
          <w:rFonts w:hint="eastAsia" w:ascii="宋体" w:hAnsi="宋体"/>
          <w:sz w:val="21"/>
          <w:szCs w:val="21"/>
          <w:lang w:val="en-US" w:eastAsia="zh-CN"/>
        </w:rPr>
        <w:t>3</w:t>
      </w:r>
      <w:r>
        <w:rPr>
          <w:rFonts w:hint="eastAsia" w:ascii="宋体" w:hAnsi="宋体"/>
          <w:sz w:val="21"/>
          <w:szCs w:val="21"/>
          <w:lang w:eastAsia="zh-CN"/>
        </w:rPr>
        <w:t>）</w:t>
      </w:r>
      <w:r>
        <w:rPr>
          <w:rFonts w:ascii="宋体" w:hAnsi="宋体"/>
          <w:sz w:val="21"/>
          <w:szCs w:val="21"/>
        </w:rPr>
        <w:t>能绘制环境噪声时间分布图、各种数据报表</w:t>
      </w:r>
      <w:r>
        <w:rPr>
          <w:rFonts w:hint="eastAsia" w:ascii="宋体" w:hAnsi="宋体"/>
          <w:sz w:val="21"/>
          <w:szCs w:val="21"/>
          <w:lang w:eastAsia="zh-CN"/>
        </w:rPr>
        <w:t>。</w:t>
      </w:r>
    </w:p>
    <w:p>
      <w:pPr>
        <w:keepNext w:val="0"/>
        <w:keepLines w:val="0"/>
        <w:pageBreakBefore w:val="0"/>
        <w:numPr>
          <w:ilvl w:val="0"/>
          <w:numId w:val="0"/>
        </w:numPr>
        <w:tabs>
          <w:tab w:val="left" w:pos="993"/>
        </w:tabs>
        <w:kinsoku/>
        <w:wordWrap/>
        <w:overflowPunct/>
        <w:topLinePunct w:val="0"/>
        <w:autoSpaceDE/>
        <w:autoSpaceDN/>
        <w:bidi w:val="0"/>
        <w:adjustRightInd/>
        <w:snapToGrid/>
        <w:spacing w:line="360" w:lineRule="exact"/>
        <w:ind w:firstLine="210" w:firstLineChars="100"/>
        <w:textAlignment w:val="auto"/>
        <w:rPr>
          <w:rFonts w:ascii="宋体" w:hAnsi="宋体"/>
          <w:sz w:val="21"/>
          <w:szCs w:val="21"/>
        </w:rPr>
      </w:pPr>
      <w:r>
        <w:rPr>
          <w:rFonts w:hint="eastAsia" w:ascii="宋体" w:hAnsi="宋体"/>
          <w:sz w:val="21"/>
          <w:szCs w:val="21"/>
          <w:lang w:eastAsia="zh-CN"/>
        </w:rPr>
        <w:t>（</w:t>
      </w:r>
      <w:r>
        <w:rPr>
          <w:rFonts w:hint="eastAsia" w:ascii="宋体" w:hAnsi="宋体"/>
          <w:sz w:val="21"/>
          <w:szCs w:val="21"/>
          <w:lang w:val="en-US" w:eastAsia="zh-CN"/>
        </w:rPr>
        <w:t>4</w:t>
      </w:r>
      <w:r>
        <w:rPr>
          <w:rFonts w:hint="eastAsia" w:ascii="宋体" w:hAnsi="宋体"/>
          <w:sz w:val="21"/>
          <w:szCs w:val="21"/>
          <w:lang w:eastAsia="zh-CN"/>
        </w:rPr>
        <w:t>）</w:t>
      </w:r>
      <w:r>
        <w:rPr>
          <w:rFonts w:ascii="宋体" w:hAnsi="宋体"/>
          <w:sz w:val="21"/>
          <w:szCs w:val="21"/>
        </w:rPr>
        <w:t>具备噪声超值报警功能。</w:t>
      </w:r>
    </w:p>
    <w:p>
      <w:pPr>
        <w:keepNext w:val="0"/>
        <w:keepLines w:val="0"/>
        <w:pageBreakBefore w:val="0"/>
        <w:numPr>
          <w:ilvl w:val="0"/>
          <w:numId w:val="0"/>
        </w:numPr>
        <w:tabs>
          <w:tab w:val="left" w:pos="567"/>
        </w:tabs>
        <w:kinsoku/>
        <w:wordWrap/>
        <w:overflowPunct/>
        <w:topLinePunct w:val="0"/>
        <w:autoSpaceDE/>
        <w:autoSpaceDN/>
        <w:bidi w:val="0"/>
        <w:adjustRightInd/>
        <w:snapToGrid/>
        <w:spacing w:line="360" w:lineRule="exact"/>
        <w:ind w:leftChars="0" w:firstLine="210" w:firstLineChars="100"/>
        <w:textAlignment w:val="auto"/>
        <w:rPr>
          <w:rFonts w:ascii="宋体" w:hAnsi="宋体"/>
          <w:sz w:val="21"/>
          <w:szCs w:val="21"/>
        </w:rPr>
      </w:pPr>
      <w:r>
        <w:rPr>
          <w:rFonts w:hint="eastAsia" w:ascii="宋体" w:hAnsi="宋体"/>
          <w:sz w:val="21"/>
          <w:szCs w:val="21"/>
          <w:lang w:val="en-US" w:eastAsia="zh-CN"/>
        </w:rPr>
        <w:t>4.</w:t>
      </w:r>
      <w:r>
        <w:rPr>
          <w:rFonts w:ascii="宋体" w:hAnsi="宋体"/>
          <w:sz w:val="21"/>
          <w:szCs w:val="21"/>
        </w:rPr>
        <w:t>质量控制</w:t>
      </w:r>
    </w:p>
    <w:p>
      <w:pPr>
        <w:keepNext w:val="0"/>
        <w:keepLines w:val="0"/>
        <w:pageBreakBefore w:val="0"/>
        <w:kinsoku/>
        <w:wordWrap/>
        <w:overflowPunct/>
        <w:topLinePunct w:val="0"/>
        <w:autoSpaceDE/>
        <w:autoSpaceDN/>
        <w:bidi w:val="0"/>
        <w:adjustRightInd/>
        <w:snapToGrid/>
        <w:spacing w:line="360" w:lineRule="exact"/>
        <w:ind w:firstLine="210" w:firstLineChars="100"/>
        <w:textAlignment w:val="auto"/>
        <w:rPr>
          <w:rFonts w:ascii="宋体" w:hAnsi="宋体"/>
          <w:sz w:val="21"/>
          <w:szCs w:val="21"/>
        </w:rPr>
      </w:pPr>
      <w:r>
        <w:rPr>
          <w:rFonts w:ascii="宋体" w:hAnsi="宋体"/>
          <w:sz w:val="21"/>
          <w:szCs w:val="21"/>
        </w:rPr>
        <w:t>系统建设和运行符合环境监测技术规范和标准，</w:t>
      </w:r>
      <w:r>
        <w:rPr>
          <w:rFonts w:hint="eastAsia" w:ascii="宋体" w:hAnsi="宋体"/>
          <w:sz w:val="21"/>
          <w:szCs w:val="21"/>
        </w:rPr>
        <w:t>户外传声器具备加热去潮功能，监测终端具备从传声器、前置级、噪声监测终端全链路的自动静电激励</w:t>
      </w:r>
      <w:r>
        <w:rPr>
          <w:rFonts w:ascii="宋体" w:hAnsi="宋体"/>
          <w:sz w:val="21"/>
          <w:szCs w:val="21"/>
        </w:rPr>
        <w:t>校准，并具有手动校准功能，保证监测结果的准确有效。</w:t>
      </w:r>
    </w:p>
    <w:p>
      <w:pPr>
        <w:keepNext w:val="0"/>
        <w:keepLines w:val="0"/>
        <w:pageBreakBefore w:val="0"/>
        <w:numPr>
          <w:ilvl w:val="0"/>
          <w:numId w:val="0"/>
        </w:numPr>
        <w:tabs>
          <w:tab w:val="left" w:pos="567"/>
        </w:tabs>
        <w:kinsoku/>
        <w:wordWrap/>
        <w:overflowPunct/>
        <w:topLinePunct w:val="0"/>
        <w:autoSpaceDE/>
        <w:autoSpaceDN/>
        <w:bidi w:val="0"/>
        <w:adjustRightInd/>
        <w:snapToGrid/>
        <w:spacing w:line="360" w:lineRule="exact"/>
        <w:ind w:leftChars="0" w:firstLine="210" w:firstLineChars="100"/>
        <w:textAlignment w:val="auto"/>
        <w:rPr>
          <w:rFonts w:ascii="宋体" w:hAnsi="宋体"/>
          <w:sz w:val="21"/>
          <w:szCs w:val="21"/>
        </w:rPr>
      </w:pPr>
      <w:r>
        <w:rPr>
          <w:rFonts w:hint="eastAsia" w:ascii="宋体" w:hAnsi="宋体"/>
          <w:sz w:val="21"/>
          <w:szCs w:val="21"/>
          <w:lang w:val="en-US" w:eastAsia="zh-CN"/>
        </w:rPr>
        <w:t>5.</w:t>
      </w:r>
      <w:r>
        <w:rPr>
          <w:rFonts w:ascii="宋体" w:hAnsi="宋体"/>
          <w:sz w:val="21"/>
          <w:szCs w:val="21"/>
        </w:rPr>
        <w:t>灵活性和前瞻性</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210" w:firstLineChars="100"/>
        <w:jc w:val="left"/>
        <w:textAlignment w:val="auto"/>
        <w:rPr>
          <w:rFonts w:ascii="宋体" w:hAnsi="宋体"/>
          <w:sz w:val="21"/>
          <w:szCs w:val="21"/>
        </w:rPr>
      </w:pPr>
      <w:r>
        <w:rPr>
          <w:rFonts w:ascii="宋体" w:hAnsi="宋体"/>
          <w:sz w:val="21"/>
          <w:szCs w:val="21"/>
        </w:rPr>
        <w:t>系统采用的技术具有较强的灵活性和前瞻性，便于将来系统的扩展和升级，适应于监测点位增减和调整、仪器种类变化和监测规范修改等情况。</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211" w:firstLineChars="10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五、技术参数</w:t>
      </w:r>
    </w:p>
    <w:tbl>
      <w:tblPr>
        <w:tblStyle w:val="10"/>
        <w:tblW w:w="8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2150"/>
        <w:gridCol w:w="5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shd w:val="clear" w:color="auto" w:fill="F1F1F1"/>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2150" w:type="dxa"/>
            <w:shd w:val="clear" w:color="auto" w:fill="F1F1F1"/>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产品/规格</w:t>
            </w:r>
          </w:p>
        </w:tc>
        <w:tc>
          <w:tcPr>
            <w:tcW w:w="5343" w:type="dxa"/>
            <w:shd w:val="clear" w:color="auto" w:fill="F1F1F1"/>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6"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一、</w:t>
            </w:r>
            <w:r>
              <w:rPr>
                <w:rFonts w:hint="eastAsia" w:ascii="宋体" w:hAnsi="宋体" w:eastAsia="宋体" w:cs="宋体"/>
                <w:b/>
                <w:sz w:val="21"/>
                <w:szCs w:val="21"/>
              </w:rPr>
              <w:t>噪声自动监测子站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1.1</w:t>
            </w:r>
          </w:p>
        </w:tc>
        <w:tc>
          <w:tcPr>
            <w:tcW w:w="7493" w:type="dxa"/>
            <w:gridSpan w:val="2"/>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全天候户外传声器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1.1.1</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▲符合标准</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符合JJG 188-2017《声级计检定规程》1级、JJG 449-2014《倍频程及1/3倍频程滤波器检定规程》1级。</w:t>
            </w:r>
            <w:r>
              <w:rPr>
                <w:rFonts w:hint="eastAsia" w:ascii="宋体" w:hAnsi="宋体" w:eastAsia="宋体" w:cs="宋体"/>
                <w:b/>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1.1.2</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传声器频率范围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lang w:eastAsia="zh-CN"/>
              </w:rPr>
            </w:pPr>
            <w:r>
              <w:rPr>
                <w:rFonts w:hint="eastAsia" w:ascii="宋体" w:hAnsi="宋体" w:eastAsia="宋体" w:cs="宋体"/>
                <w:sz w:val="21"/>
                <w:szCs w:val="21"/>
              </w:rPr>
              <w:t>10Hz ～ 20kHz</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1.1.3</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传声器灵敏度</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大于30mV/Pa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1.1.4</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户外传声器指向性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90°入射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1.2</w:t>
            </w:r>
          </w:p>
        </w:tc>
        <w:tc>
          <w:tcPr>
            <w:tcW w:w="7493" w:type="dxa"/>
            <w:gridSpan w:val="2"/>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b/>
                <w:sz w:val="21"/>
                <w:szCs w:val="21"/>
              </w:rPr>
              <w:t>环境噪声自动监测仪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▲检定标准</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符合JJG 1095-2014 环境噪声自动监测仪检定规程。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1.2.2</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▲测量上限</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≥140 dB(A)</w:t>
            </w:r>
            <w:r>
              <w:rPr>
                <w:rFonts w:hint="eastAsia" w:ascii="宋体" w:hAnsi="宋体" w:cs="宋体"/>
                <w:sz w:val="21"/>
                <w:szCs w:val="21"/>
                <w:lang w:eastAsia="zh-CN"/>
              </w:rPr>
              <w:t>。</w:t>
            </w:r>
            <w:r>
              <w:rPr>
                <w:rFonts w:hint="eastAsia" w:ascii="宋体" w:hAnsi="宋体" w:eastAsia="宋体" w:cs="宋体"/>
                <w:sz w:val="21"/>
                <w:szCs w:val="21"/>
              </w:rPr>
              <w:t>线性工作范围≥110 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1.2.3</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湿度控制</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lang w:eastAsia="zh-CN"/>
              </w:rPr>
            </w:pPr>
            <w:r>
              <w:rPr>
                <w:rFonts w:hint="eastAsia" w:ascii="宋体" w:hAnsi="宋体" w:eastAsia="宋体" w:cs="宋体"/>
                <w:sz w:val="21"/>
                <w:szCs w:val="21"/>
              </w:rPr>
              <w:t>户外传声器需具有加热除湿功能</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1.2.4</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环境特性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工作温度-30℃~+55℃</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工作湿度0-100%（不凝结情况下）</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1.2.5</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▲本机噪声</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本机噪声≤21 dB (A)</w:t>
            </w:r>
            <w:r>
              <w:rPr>
                <w:rFonts w:hint="eastAsia" w:ascii="宋体" w:hAnsi="宋体" w:eastAsia="宋体" w:cs="宋体"/>
                <w:b/>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1.2.6</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▲计权方式</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频率计权：A、C、Z（并行）</w:t>
            </w:r>
            <w:r>
              <w:rPr>
                <w:rFonts w:hint="eastAsia" w:ascii="宋体" w:hAnsi="宋体" w:cs="宋体"/>
                <w:sz w:val="21"/>
                <w:szCs w:val="21"/>
                <w:lang w:eastAsia="zh-CN"/>
              </w:rPr>
              <w:t>。</w:t>
            </w:r>
            <w:r>
              <w:rPr>
                <w:rFonts w:hint="eastAsia" w:ascii="宋体" w:hAnsi="宋体" w:eastAsia="宋体" w:cs="宋体"/>
                <w:sz w:val="21"/>
                <w:szCs w:val="21"/>
              </w:rPr>
              <w:t xml:space="preserve"> 时间计权：F、S、I(并行) </w:t>
            </w:r>
            <w:r>
              <w:rPr>
                <w:rFonts w:hint="eastAsia" w:ascii="宋体" w:hAnsi="宋体" w:cs="宋体"/>
                <w:sz w:val="21"/>
                <w:szCs w:val="21"/>
                <w:lang w:eastAsia="zh-CN"/>
              </w:rPr>
              <w:t>。</w:t>
            </w:r>
            <w:r>
              <w:rPr>
                <w:rFonts w:hint="eastAsia" w:ascii="宋体" w:hAnsi="宋体" w:eastAsia="宋体" w:cs="宋体"/>
                <w:sz w:val="21"/>
                <w:szCs w:val="21"/>
              </w:rPr>
              <w:t>可软件远程切换设置。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1.2.7</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采样间隔</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0.1秒到1秒的可设置。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1.2.8</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测量参数</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Leq、L5、L10、L50、L90、L95、SD、Lmax、Lmin、LZFp、LZSp、LZIp、LCFp、LCSp、LCIp、LAFp、LASp、LAIp、Cpeak</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1.2.9</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1/3中心频率点</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16Hz、20Hz、25Hz、31.5Hz、40Hz、50Hz、63Hz、80Hz、100Hz、125Hz、160Hz、200Hz、250Hz、315Hz、400Hz、500Hz、630Hz、1.14800Hz、1000Hz、1250Hz、1600Hz、2000Hz、2500Hz、3150Hz、4kHz1.15、5kHz、6.3kHz、8kHz、10kHz、12.5kHz、16kHz、20kHz</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1.2.10</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1/1中心频率点</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16Hz、311.16.5Hz、63Hz、125Hz、250Hz、500Hz、1000Hz、2000Hz、4kHz1.17、8kHz、16kHz</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1.2.11</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▲系统校准</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系统应具有远程全链路自检功能，自检时应包括传声器、前置级、噪声监测子站主机，自检结果应与声校准器校准偏差不超过0.2dB。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1.2.12</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统计值</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自定义时间长度（10分到1小时以内）统计分析、小时统计（整点）、天统计</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1.2.13</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录音功能</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系统应具有超标自动录音功能，采用无压缩的WAV格式，录音保存的总时长不应低于10个小时</w:t>
            </w:r>
            <w:r>
              <w:rPr>
                <w:rFonts w:hint="eastAsia" w:ascii="宋体" w:hAnsi="宋体" w:cs="宋体"/>
                <w:sz w:val="21"/>
                <w:szCs w:val="21"/>
                <w:lang w:eastAsia="zh-CN"/>
              </w:rPr>
              <w:t>。</w:t>
            </w:r>
            <w:r>
              <w:rPr>
                <w:rFonts w:hint="eastAsia" w:ascii="宋体" w:hAnsi="宋体" w:eastAsia="宋体" w:cs="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1.2.14</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定位功能</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监测终端自身内置GPS模块和天线，可通过GPS或网络自动授时和定位，将终端的经纬度信息自动传输到控制中心软件中。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1.2.15</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授时</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噪声分析仪本身应具有支持GPS自动授时和网络自动授时功能，而不应靠系统指令授时。系统中任何时钟的不一致性小于1秒，每天最大偏差小于1秒。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1.2.16</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事件记录</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电校准、加热、噪声超标、仪器启动、仪器关机、停电、机箱门被打开、存储器出错、电池电压不足等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1.2.17</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监测类型支持</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监测终端自带气象监测仪和车流量监测仪数据接口，声学数据和气象、车流量数据在噪声监测前端结合成为一个整体，传输到控制中心。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1.3</w:t>
            </w:r>
          </w:p>
        </w:tc>
        <w:tc>
          <w:tcPr>
            <w:tcW w:w="7493" w:type="dxa"/>
            <w:gridSpan w:val="2"/>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防护单元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1.3.1</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电源要求</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外接交流电220V50Hz，带可充电储备电源，停电时可连续正常工作48小时，可扩展太阳能供电</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1.3.2</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可靠性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电力和通讯出现的临时故障不影响数据采集，通讯恢复后可自动下载延误传输的数据</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永久断电不丢失已采集数据</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cs="宋体"/>
                <w:sz w:val="21"/>
                <w:szCs w:val="21"/>
                <w:lang w:eastAsia="zh-CN"/>
              </w:rPr>
            </w:pPr>
            <w:r>
              <w:rPr>
                <w:rFonts w:hint="eastAsia" w:ascii="宋体" w:hAnsi="宋体" w:eastAsia="宋体" w:cs="宋体"/>
                <w:sz w:val="21"/>
                <w:szCs w:val="21"/>
              </w:rPr>
              <w:t>终端死机后有自动唤醒功能</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数据总采集率不低于95%</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1.3.3</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sz w:val="21"/>
                <w:szCs w:val="21"/>
              </w:rPr>
            </w:pPr>
            <w:r>
              <w:rPr>
                <w:rFonts w:hint="eastAsia" w:ascii="宋体" w:hAnsi="宋体" w:eastAsia="宋体" w:cs="宋体"/>
                <w:sz w:val="21"/>
                <w:szCs w:val="21"/>
              </w:rPr>
              <w:t>环境适应性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风速30米/秒不损坏</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有可靠的防雷电设计、有降低磁场、静电场影响的设计</w:t>
            </w:r>
            <w:r>
              <w:rPr>
                <w:rFonts w:hint="eastAsia" w:ascii="宋体" w:hAnsi="宋体" w:cs="宋体"/>
                <w:sz w:val="21"/>
                <w:szCs w:val="21"/>
                <w:lang w:eastAsia="zh-CN"/>
              </w:rPr>
              <w:t>。</w:t>
            </w:r>
            <w:r>
              <w:rPr>
                <w:rFonts w:hint="eastAsia" w:ascii="宋体" w:hAnsi="宋体" w:eastAsia="宋体" w:cs="宋体"/>
                <w:sz w:val="21"/>
                <w:szCs w:val="21"/>
              </w:rPr>
              <w:t>有防振动影响的设计</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1.3.4</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防护等级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整个箱体均为防水防尘设计，符合IP55标准</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1.3.5</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固定站架杆</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传声器可设计为地面架杆式</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传声器距离反射面&gt;2m，安装高度&gt;4m</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架杆和支架为防腐防锈全金属材质</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架杆和支架有方便检修和校准的设计</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1.3.6</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维护性</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监测终端可遥控操作，包括远程频率计权、时间计权切换，远程校准、校时等操作及终端工作状态远程监控功能。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1.3.7</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使用寿命</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≥8年</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6"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kern w:val="0"/>
                <w:sz w:val="21"/>
                <w:szCs w:val="21"/>
                <w:lang w:eastAsia="zh-CN"/>
              </w:rPr>
              <w:t>、</w:t>
            </w:r>
            <w:r>
              <w:rPr>
                <w:rFonts w:hint="eastAsia" w:ascii="宋体" w:hAnsi="宋体" w:eastAsia="宋体" w:cs="宋体"/>
                <w:b/>
                <w:sz w:val="21"/>
                <w:szCs w:val="21"/>
              </w:rPr>
              <w:t>气象监测仪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2.1</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▲用途</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采用一体化气象参数传感器，同时测量风速、风向、温度、湿度、大气压、降水六个气象参数。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2.2</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安装方式</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与噪声子站共杆安装，用于分析气象因素对噪声监测数据的影响。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2.3</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风速原理</w:t>
            </w:r>
          </w:p>
        </w:tc>
        <w:tc>
          <w:tcPr>
            <w:tcW w:w="5343" w:type="dxa"/>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超声波</w:t>
            </w:r>
            <w:r>
              <w:rPr>
                <w:rFonts w:hint="eastAsia" w:ascii="宋体" w:hAnsi="宋体" w:cs="宋体"/>
                <w:sz w:val="21"/>
                <w:szCs w:val="21"/>
                <w:lang w:eastAsia="zh-CN"/>
              </w:rPr>
              <w:t>。</w:t>
            </w:r>
            <w:r>
              <w:rPr>
                <w:rFonts w:hint="eastAsia" w:ascii="宋体" w:hAnsi="宋体" w:eastAsia="宋体" w:cs="宋体"/>
                <w:sz w:val="21"/>
                <w:szCs w:val="21"/>
              </w:rPr>
              <w:t>测量范围：0-60米/秒</w:t>
            </w:r>
            <w:r>
              <w:rPr>
                <w:rFonts w:hint="eastAsia" w:ascii="宋体" w:hAnsi="宋体" w:cs="宋体"/>
                <w:sz w:val="21"/>
                <w:szCs w:val="21"/>
                <w:lang w:eastAsia="zh-CN"/>
              </w:rPr>
              <w:t>。</w:t>
            </w:r>
            <w:r>
              <w:rPr>
                <w:rFonts w:hint="eastAsia" w:ascii="宋体" w:hAnsi="宋体" w:eastAsia="宋体" w:cs="宋体"/>
                <w:sz w:val="21"/>
                <w:szCs w:val="21"/>
              </w:rPr>
              <w:t>响应时间：0.25s</w:t>
            </w:r>
            <w:r>
              <w:rPr>
                <w:rFonts w:hint="eastAsia" w:ascii="宋体" w:hAnsi="宋体" w:cs="宋体"/>
                <w:sz w:val="21"/>
                <w:szCs w:val="21"/>
                <w:lang w:eastAsia="zh-CN"/>
              </w:rPr>
              <w:t>。</w:t>
            </w:r>
          </w:p>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精确性：±3% @10m/s </w:t>
            </w:r>
            <w:r>
              <w:rPr>
                <w:rFonts w:hint="eastAsia" w:ascii="宋体" w:hAnsi="宋体" w:cs="宋体"/>
                <w:sz w:val="21"/>
                <w:szCs w:val="21"/>
                <w:lang w:eastAsia="zh-CN"/>
              </w:rPr>
              <w:t>。</w:t>
            </w:r>
            <w:r>
              <w:rPr>
                <w:rFonts w:hint="eastAsia" w:ascii="宋体" w:hAnsi="宋体" w:eastAsia="宋体" w:cs="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风向测量范围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0-359.9°（无死角），测量精度±3</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2.5</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温度测量范围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-30~+60˚C，测量精度：±0.5˚C</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2.6</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湿度测量范围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0-100%RH，测量精度：±5 %RH</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2.7</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大气压测量范围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600-1100 hPa，测量精度：±1 hPa</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2.8</w:t>
            </w:r>
          </w:p>
        </w:tc>
        <w:tc>
          <w:tcPr>
            <w:tcW w:w="2150"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降雨量测量范围</w:t>
            </w:r>
          </w:p>
        </w:tc>
        <w:tc>
          <w:tcPr>
            <w:tcW w:w="5343" w:type="dxa"/>
            <w:noWrap w:val="0"/>
            <w:vAlign w:val="center"/>
          </w:tcPr>
          <w:p>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0-200mm/h，测量精度：4%</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6"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kern w:val="0"/>
                <w:sz w:val="21"/>
                <w:szCs w:val="21"/>
              </w:rPr>
              <w:t>三</w:t>
            </w:r>
            <w:r>
              <w:rPr>
                <w:rFonts w:hint="eastAsia" w:ascii="宋体" w:hAnsi="宋体" w:eastAsia="宋体" w:cs="宋体"/>
                <w:b/>
                <w:kern w:val="0"/>
                <w:sz w:val="21"/>
                <w:szCs w:val="21"/>
                <w:lang w:eastAsia="zh-CN"/>
              </w:rPr>
              <w:t>、</w:t>
            </w:r>
            <w:r>
              <w:rPr>
                <w:rFonts w:hint="eastAsia" w:ascii="宋体" w:hAnsi="宋体" w:eastAsia="宋体" w:cs="宋体"/>
                <w:b/>
                <w:sz w:val="21"/>
                <w:szCs w:val="21"/>
              </w:rPr>
              <w:t>设备安装调试及系统集成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3.1</w:t>
            </w:r>
          </w:p>
        </w:tc>
        <w:tc>
          <w:tcPr>
            <w:tcW w:w="7493" w:type="dxa"/>
            <w:gridSpan w:val="2"/>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kern w:val="0"/>
                <w:sz w:val="21"/>
                <w:szCs w:val="21"/>
              </w:rPr>
            </w:pPr>
            <w:r>
              <w:rPr>
                <w:rFonts w:hint="eastAsia" w:ascii="宋体" w:hAnsi="宋体" w:eastAsia="宋体" w:cs="宋体"/>
                <w:kern w:val="0"/>
                <w:sz w:val="21"/>
                <w:szCs w:val="21"/>
              </w:rPr>
              <w:t>本项目为交钥匙工程，</w:t>
            </w:r>
            <w:r>
              <w:rPr>
                <w:rFonts w:hint="eastAsia" w:ascii="宋体" w:hAnsi="宋体" w:eastAsia="宋体" w:cs="宋体"/>
                <w:kern w:val="0"/>
                <w:sz w:val="21"/>
                <w:szCs w:val="21"/>
                <w:lang w:val="en-US" w:eastAsia="zh-CN"/>
              </w:rPr>
              <w:t>成交供应商</w:t>
            </w:r>
            <w:r>
              <w:rPr>
                <w:rFonts w:hint="eastAsia" w:ascii="宋体" w:hAnsi="宋体" w:eastAsia="宋体" w:cs="宋体"/>
                <w:kern w:val="0"/>
                <w:sz w:val="21"/>
                <w:szCs w:val="21"/>
              </w:rPr>
              <w:t>负责货物的基础建设、设备安装调试、数据集成和平台接入，设备的安装和验收标准以参照相应的国家标准执行。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36"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kern w:val="0"/>
                <w:sz w:val="21"/>
                <w:szCs w:val="21"/>
              </w:rPr>
              <w:t>四</w:t>
            </w:r>
            <w:r>
              <w:rPr>
                <w:rFonts w:hint="eastAsia" w:ascii="宋体" w:hAnsi="宋体" w:eastAsia="宋体" w:cs="宋体"/>
                <w:b/>
                <w:kern w:val="0"/>
                <w:sz w:val="21"/>
                <w:szCs w:val="21"/>
                <w:lang w:eastAsia="zh-CN"/>
              </w:rPr>
              <w:t>、</w:t>
            </w:r>
            <w:r>
              <w:rPr>
                <w:rFonts w:hint="eastAsia" w:ascii="宋体" w:hAnsi="宋体" w:eastAsia="宋体" w:cs="宋体"/>
                <w:b/>
                <w:sz w:val="21"/>
                <w:szCs w:val="21"/>
              </w:rPr>
              <w:t>设备搬迁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4.1</w:t>
            </w:r>
          </w:p>
        </w:tc>
        <w:tc>
          <w:tcPr>
            <w:tcW w:w="7493" w:type="dxa"/>
            <w:gridSpan w:val="2"/>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成交供应商</w:t>
            </w:r>
            <w:r>
              <w:rPr>
                <w:rFonts w:hint="eastAsia" w:ascii="宋体" w:hAnsi="宋体" w:eastAsia="宋体" w:cs="宋体"/>
                <w:sz w:val="21"/>
                <w:szCs w:val="21"/>
              </w:rPr>
              <w:t>负责将位于江苏省常州环境监测中心的一套B&amp;K 3639E型噪声自动站搬迁，包含原设备的拆装、设备搬迁、新址站房建设、安装结构件的设计定制加工等。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noWrap w:val="0"/>
            <w:vAlign w:val="center"/>
          </w:tcPr>
          <w:p>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4.2</w:t>
            </w:r>
          </w:p>
        </w:tc>
        <w:tc>
          <w:tcPr>
            <w:tcW w:w="7493" w:type="dxa"/>
            <w:gridSpan w:val="2"/>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成交供应商</w:t>
            </w:r>
            <w:r>
              <w:rPr>
                <w:rFonts w:hint="eastAsia" w:ascii="宋体" w:hAnsi="宋体" w:eastAsia="宋体" w:cs="宋体"/>
                <w:sz w:val="21"/>
                <w:szCs w:val="21"/>
              </w:rPr>
              <w:t>负责设备的安装调试和数据接入服务，同时需充分考虑搬迁工作中的风险和不确定性，均由</w:t>
            </w:r>
            <w:r>
              <w:rPr>
                <w:rFonts w:hint="eastAsia" w:ascii="宋体" w:hAnsi="宋体" w:eastAsia="宋体" w:cs="宋体"/>
                <w:kern w:val="0"/>
                <w:sz w:val="21"/>
                <w:szCs w:val="21"/>
                <w:lang w:val="en-US" w:eastAsia="zh-CN"/>
              </w:rPr>
              <w:t>成交供应商</w:t>
            </w:r>
            <w:r>
              <w:rPr>
                <w:rFonts w:hint="eastAsia" w:ascii="宋体" w:hAnsi="宋体" w:eastAsia="宋体" w:cs="宋体"/>
                <w:sz w:val="21"/>
                <w:szCs w:val="21"/>
              </w:rPr>
              <w:t>承担。</w:t>
            </w:r>
          </w:p>
        </w:tc>
      </w:tr>
    </w:tbl>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422" w:firstLineChars="200"/>
        <w:jc w:val="left"/>
        <w:textAlignment w:val="auto"/>
        <w:rPr>
          <w:rFonts w:hint="default" w:ascii="宋体" w:hAnsi="宋体" w:cs="宋体"/>
          <w:b/>
          <w:bCs/>
          <w:color w:val="auto"/>
          <w:szCs w:val="21"/>
          <w:highlight w:val="none"/>
          <w:u w:val="none"/>
          <w:lang w:val="en-US" w:eastAsia="zh-CN"/>
        </w:rPr>
      </w:pPr>
      <w:r>
        <w:rPr>
          <w:rFonts w:hint="eastAsia" w:ascii="宋体" w:hAnsi="宋体" w:cs="宋体"/>
          <w:b/>
          <w:bCs/>
          <w:color w:val="auto"/>
          <w:szCs w:val="21"/>
          <w:highlight w:val="none"/>
          <w:u w:val="none"/>
          <w:lang w:val="en-US" w:eastAsia="zh-CN"/>
        </w:rPr>
        <w:t>注：签订合同前采购人有权要求成交供应商提供主要产品的样机进行功能核验，对带▲重要技术指标提供省级或以上计量院的检定证书或报告予以佐证，如发现与竞争性谈判文件和谈判响应文件响应不符的，采购人有权拒签合同。</w:t>
      </w:r>
    </w:p>
    <w:p>
      <w:pPr>
        <w:keepNext w:val="0"/>
        <w:keepLines w:val="0"/>
        <w:pageBreakBefore w:val="0"/>
        <w:widowControl w:val="0"/>
        <w:numPr>
          <w:ilvl w:val="0"/>
          <w:numId w:val="0"/>
        </w:numPr>
        <w:kinsoku/>
        <w:wordWrap/>
        <w:overflowPunct/>
        <w:topLinePunct w:val="0"/>
        <w:autoSpaceDE/>
        <w:autoSpaceDN/>
        <w:bidi w:val="0"/>
        <w:adjustRightInd/>
        <w:spacing w:line="360" w:lineRule="exact"/>
        <w:ind w:right="210" w:rightChars="0" w:firstLine="211" w:firstLineChars="100"/>
        <w:jc w:val="left"/>
        <w:textAlignment w:val="auto"/>
        <w:rPr>
          <w:rFonts w:hint="eastAsia" w:ascii="宋体" w:hAnsi="宋体" w:cs="宋体"/>
          <w:b/>
          <w:bCs/>
          <w:color w:val="auto"/>
          <w:szCs w:val="21"/>
          <w:highlight w:val="none"/>
          <w:u w:val="none"/>
          <w:lang w:eastAsia="zh-CN"/>
        </w:rPr>
      </w:pPr>
      <w:r>
        <w:rPr>
          <w:rFonts w:hint="eastAsia" w:ascii="宋体" w:hAnsi="宋体" w:cs="宋体"/>
          <w:b/>
          <w:bCs/>
          <w:color w:val="auto"/>
          <w:szCs w:val="21"/>
          <w:highlight w:val="none"/>
          <w:u w:val="none"/>
          <w:lang w:val="en-US" w:eastAsia="zh-CN"/>
        </w:rPr>
        <w:t>六</w:t>
      </w:r>
      <w:r>
        <w:rPr>
          <w:rFonts w:hint="eastAsia" w:ascii="宋体" w:hAnsi="宋体" w:cs="宋体"/>
          <w:b/>
          <w:bCs/>
          <w:color w:val="auto"/>
          <w:szCs w:val="21"/>
          <w:highlight w:val="none"/>
          <w:u w:val="none"/>
          <w:lang w:eastAsia="zh-CN"/>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本项目</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报价为</w:t>
      </w:r>
      <w:r>
        <w:rPr>
          <w:rFonts w:hint="eastAsia" w:ascii="宋体" w:hAnsi="宋体" w:cs="宋体"/>
          <w:b/>
          <w:bCs/>
          <w:color w:val="auto"/>
          <w:szCs w:val="21"/>
          <w:highlight w:val="none"/>
          <w:u w:val="none"/>
        </w:rPr>
        <w:t>固定单价</w:t>
      </w:r>
      <w:r>
        <w:rPr>
          <w:rFonts w:hint="eastAsia" w:ascii="宋体" w:hAnsi="宋体" w:cs="宋体"/>
          <w:b w:val="0"/>
          <w:bCs w:val="0"/>
          <w:color w:val="auto"/>
          <w:szCs w:val="21"/>
          <w:highlight w:val="none"/>
          <w:u w:val="none"/>
        </w:rPr>
        <w:t>，</w:t>
      </w:r>
      <w:r>
        <w:rPr>
          <w:rFonts w:hint="eastAsia" w:ascii="宋体" w:hAnsi="宋体" w:cs="宋体"/>
          <w:b w:val="0"/>
          <w:bCs w:val="0"/>
          <w:color w:val="auto"/>
          <w:szCs w:val="21"/>
          <w:highlight w:val="none"/>
          <w:u w:val="none"/>
          <w:lang w:eastAsia="zh-CN"/>
        </w:rPr>
        <w:t>谈判</w:t>
      </w:r>
      <w:r>
        <w:rPr>
          <w:rFonts w:hint="eastAsia" w:ascii="宋体" w:hAnsi="宋体" w:cs="宋体"/>
          <w:b w:val="0"/>
          <w:bCs w:val="0"/>
          <w:color w:val="auto"/>
          <w:szCs w:val="21"/>
          <w:highlight w:val="none"/>
          <w:u w:val="none"/>
        </w:rPr>
        <w:t>总价应包括</w:t>
      </w:r>
      <w:r>
        <w:rPr>
          <w:rFonts w:hint="eastAsia" w:ascii="宋体" w:hAnsi="宋体" w:cs="宋体"/>
          <w:b w:val="0"/>
          <w:bCs w:val="0"/>
          <w:color w:val="auto"/>
          <w:szCs w:val="21"/>
          <w:highlight w:val="none"/>
          <w:u w:val="none"/>
          <w:lang w:eastAsia="zh-CN"/>
        </w:rPr>
        <w:t>竞争性谈判</w:t>
      </w:r>
      <w:r>
        <w:rPr>
          <w:rFonts w:hint="eastAsia" w:ascii="宋体" w:hAnsi="宋体" w:cs="宋体"/>
          <w:b w:val="0"/>
          <w:bCs w:val="0"/>
          <w:color w:val="auto"/>
          <w:szCs w:val="21"/>
          <w:highlight w:val="none"/>
          <w:u w:val="none"/>
        </w:rPr>
        <w:t>文件所确定的采购范围相应货物和</w:t>
      </w:r>
      <w:r>
        <w:rPr>
          <w:rFonts w:ascii="宋体" w:hAnsi="宋体" w:cs="宋体"/>
          <w:b w:val="0"/>
          <w:bCs w:val="0"/>
          <w:color w:val="auto"/>
          <w:szCs w:val="21"/>
          <w:highlight w:val="none"/>
          <w:u w:val="none"/>
        </w:rPr>
        <w:t>服务</w:t>
      </w:r>
      <w:r>
        <w:rPr>
          <w:rFonts w:hint="eastAsia" w:ascii="宋体" w:hAnsi="宋体" w:cs="宋体"/>
          <w:b w:val="0"/>
          <w:bCs w:val="0"/>
          <w:color w:val="auto"/>
          <w:szCs w:val="21"/>
          <w:highlight w:val="none"/>
          <w:u w:val="none"/>
        </w:rPr>
        <w:t>的供货、包装、运输、保险、安装调试、质保</w:t>
      </w:r>
      <w:r>
        <w:rPr>
          <w:rFonts w:hint="eastAsia" w:ascii="宋体" w:hAnsi="宋体" w:cs="宋体"/>
          <w:b w:val="0"/>
          <w:bCs w:val="0"/>
          <w:color w:val="auto"/>
          <w:szCs w:val="21"/>
          <w:highlight w:val="none"/>
          <w:u w:val="none"/>
          <w:lang w:eastAsia="zh-CN"/>
        </w:rPr>
        <w:t>、</w:t>
      </w:r>
      <w:r>
        <w:rPr>
          <w:rFonts w:hint="eastAsia" w:ascii="宋体" w:hAnsi="宋体" w:cs="宋体"/>
          <w:b w:val="0"/>
          <w:bCs w:val="0"/>
          <w:color w:val="auto"/>
          <w:szCs w:val="21"/>
          <w:highlight w:val="none"/>
          <w:u w:val="none"/>
        </w:rPr>
        <w:t>运维</w:t>
      </w:r>
      <w:r>
        <w:rPr>
          <w:rFonts w:hint="eastAsia" w:ascii="宋体" w:hAnsi="宋体" w:cs="宋体"/>
          <w:b w:val="0"/>
          <w:bCs w:val="0"/>
          <w:color w:val="auto"/>
          <w:szCs w:val="21"/>
          <w:highlight w:val="none"/>
          <w:u w:val="none"/>
          <w:lang w:eastAsia="zh-CN"/>
        </w:rPr>
        <w:t>、</w:t>
      </w:r>
      <w:r>
        <w:rPr>
          <w:rFonts w:hint="eastAsia" w:ascii="宋体" w:hAnsi="宋体" w:cs="宋体"/>
          <w:b w:val="0"/>
          <w:bCs w:val="0"/>
          <w:color w:val="auto"/>
          <w:szCs w:val="21"/>
          <w:highlight w:val="none"/>
          <w:u w:val="none"/>
        </w:rPr>
        <w:t>管理、维护</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劳务、培训、验收</w:t>
      </w:r>
      <w:r>
        <w:rPr>
          <w:rFonts w:ascii="宋体" w:hAnsi="宋体" w:cs="宋体"/>
          <w:b w:val="0"/>
          <w:bCs w:val="0"/>
          <w:color w:val="auto"/>
          <w:szCs w:val="21"/>
          <w:highlight w:val="none"/>
          <w:u w:val="none"/>
        </w:rPr>
        <w:t>、</w:t>
      </w:r>
      <w:r>
        <w:rPr>
          <w:rFonts w:hint="eastAsia" w:ascii="宋体" w:hAnsi="宋体" w:cs="宋体"/>
          <w:b w:val="0"/>
          <w:bCs w:val="0"/>
          <w:color w:val="auto"/>
          <w:szCs w:val="21"/>
          <w:highlight w:val="none"/>
          <w:u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b w:val="0"/>
          <w:bCs w:val="0"/>
          <w:color w:val="auto"/>
          <w:szCs w:val="21"/>
          <w:highlight w:val="none"/>
          <w:u w:val="none"/>
        </w:rPr>
      </w:pPr>
      <w:r>
        <w:rPr>
          <w:rFonts w:hint="eastAsia" w:ascii="宋体" w:hAnsi="宋体" w:cs="宋体"/>
          <w:b w:val="0"/>
          <w:bCs w:val="0"/>
          <w:color w:val="auto"/>
          <w:szCs w:val="21"/>
          <w:highlight w:val="none"/>
          <w:u w:val="none"/>
        </w:rPr>
        <w:t>报价货币为人民币，评审时以人民币为准。</w:t>
      </w:r>
    </w:p>
    <w:p>
      <w:pPr>
        <w:spacing w:line="36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、交货期及交货地点</w:t>
      </w:r>
    </w:p>
    <w:p>
      <w:pPr>
        <w:spacing w:line="360" w:lineRule="exact"/>
        <w:ind w:right="21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1.交货期：自合同签订之日起</w:t>
      </w:r>
      <w:r>
        <w:rPr>
          <w:rFonts w:hint="eastAsia" w:ascii="宋体" w:hAnsi="宋体" w:cs="宋体"/>
          <w:bCs/>
          <w:color w:val="auto"/>
          <w:szCs w:val="21"/>
          <w:highlight w:val="none"/>
          <w:lang w:val="en-US" w:eastAsia="zh-CN"/>
        </w:rPr>
        <w:t>60天</w:t>
      </w:r>
      <w:r>
        <w:rPr>
          <w:rFonts w:hint="eastAsia" w:ascii="宋体" w:hAnsi="宋体" w:cs="宋体"/>
          <w:bCs/>
          <w:color w:val="auto"/>
          <w:szCs w:val="21"/>
          <w:highlight w:val="none"/>
        </w:rPr>
        <w:t>内交货并安装调试完毕。</w:t>
      </w:r>
    </w:p>
    <w:p>
      <w:pPr>
        <w:tabs>
          <w:tab w:val="left" w:pos="540"/>
        </w:tabs>
        <w:spacing w:line="360" w:lineRule="exact"/>
        <w:ind w:firstLine="420" w:firstLineChars="200"/>
        <w:rPr>
          <w:rFonts w:ascii="宋体" w:hAnsi="宋体" w:cs="宋体"/>
          <w:b/>
          <w:color w:val="auto"/>
          <w:szCs w:val="21"/>
          <w:highlight w:val="none"/>
        </w:rPr>
      </w:pPr>
      <w:r>
        <w:rPr>
          <w:rFonts w:hint="eastAsia" w:ascii="宋体" w:hAnsi="宋体" w:cs="宋体"/>
          <w:bCs/>
          <w:color w:val="auto"/>
          <w:szCs w:val="21"/>
          <w:highlight w:val="none"/>
        </w:rPr>
        <w:t>2.交货地点：</w:t>
      </w:r>
      <w:r>
        <w:rPr>
          <w:rFonts w:hint="eastAsia" w:ascii="宋体" w:hAnsi="宋体"/>
          <w:bCs/>
          <w:color w:val="auto"/>
          <w:szCs w:val="21"/>
          <w:highlight w:val="none"/>
          <w:lang w:eastAsia="zh-CN"/>
        </w:rPr>
        <w:t>采购人</w:t>
      </w:r>
      <w:r>
        <w:rPr>
          <w:rFonts w:hint="eastAsia" w:ascii="宋体" w:hAnsi="宋体"/>
          <w:bCs/>
          <w:color w:val="auto"/>
          <w:szCs w:val="21"/>
          <w:highlight w:val="none"/>
        </w:rPr>
        <w:t>指定地点</w:t>
      </w:r>
      <w:r>
        <w:rPr>
          <w:rFonts w:hint="eastAsia" w:ascii="宋体" w:hAnsi="宋体" w:cs="宋体"/>
          <w:bCs/>
          <w:color w:val="auto"/>
          <w:szCs w:val="21"/>
          <w:highlight w:val="none"/>
        </w:rPr>
        <w:t>。货物现场交付，</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检验无误，签署收货通知单后，货物所有权转移给</w:t>
      </w:r>
      <w:r>
        <w:rPr>
          <w:rFonts w:hint="eastAsia" w:ascii="宋体" w:hAnsi="宋体"/>
          <w:bCs/>
          <w:color w:val="auto"/>
          <w:szCs w:val="21"/>
          <w:highlight w:val="none"/>
          <w:lang w:eastAsia="zh-CN"/>
        </w:rPr>
        <w:t>采购人</w:t>
      </w:r>
      <w:r>
        <w:rPr>
          <w:rFonts w:hint="eastAsia" w:ascii="宋体" w:hAnsi="宋体" w:cs="宋体"/>
          <w:bCs/>
          <w:color w:val="auto"/>
          <w:szCs w:val="21"/>
          <w:highlight w:val="none"/>
        </w:rPr>
        <w:t>。</w:t>
      </w:r>
      <w:r>
        <w:rPr>
          <w:rFonts w:hint="eastAsia" w:ascii="宋体" w:hAnsi="宋体"/>
          <w:color w:val="auto"/>
          <w:highlight w:val="none"/>
        </w:rPr>
        <w:t>供货时，随产品还应当包括：产品质量保证书及随产品附带的所有有关资料。</w:t>
      </w:r>
    </w:p>
    <w:p>
      <w:pPr>
        <w:spacing w:line="36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、验收要求：</w:t>
      </w:r>
    </w:p>
    <w:p>
      <w:pPr>
        <w:snapToGrid w:val="0"/>
        <w:spacing w:line="360" w:lineRule="exact"/>
        <w:ind w:firstLine="420" w:firstLineChars="200"/>
        <w:rPr>
          <w:rFonts w:ascii="宋体" w:hAnsi="宋体" w:cs="Arial"/>
          <w:color w:val="auto"/>
          <w:kern w:val="0"/>
          <w:szCs w:val="21"/>
          <w:highlight w:val="none"/>
        </w:rPr>
      </w:pPr>
      <w:r>
        <w:rPr>
          <w:rFonts w:hint="eastAsia" w:ascii="宋体" w:hAnsi="宋体" w:cs="Arial"/>
          <w:color w:val="auto"/>
          <w:kern w:val="0"/>
          <w:szCs w:val="21"/>
          <w:highlight w:val="none"/>
        </w:rPr>
        <w:t>1.产品必须是全新、未使用过的原装合格正品，完全符合</w:t>
      </w:r>
      <w:r>
        <w:rPr>
          <w:rFonts w:hint="eastAsia" w:ascii="宋体" w:hAnsi="宋体" w:cs="Arial"/>
          <w:color w:val="auto"/>
          <w:kern w:val="0"/>
          <w:szCs w:val="21"/>
          <w:highlight w:val="none"/>
          <w:lang w:eastAsia="zh-CN"/>
        </w:rPr>
        <w:t>竞争性谈判文件</w:t>
      </w:r>
      <w:r>
        <w:rPr>
          <w:rFonts w:hint="eastAsia" w:ascii="宋体" w:hAnsi="宋体" w:cs="Arial"/>
          <w:color w:val="auto"/>
          <w:kern w:val="0"/>
          <w:szCs w:val="21"/>
          <w:highlight w:val="none"/>
        </w:rPr>
        <w:t>规定的质量、规格和性能的要求，达到国家或行业规定的标准。</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2.投标人提供的产品必须能够满足规范及</w:t>
      </w:r>
      <w:r>
        <w:rPr>
          <w:rFonts w:hint="eastAsia" w:ascii="宋体" w:hAnsi="宋体" w:cs="Arial"/>
          <w:color w:val="auto"/>
          <w:kern w:val="0"/>
          <w:szCs w:val="21"/>
          <w:highlight w:val="none"/>
          <w:lang w:val="en-US" w:eastAsia="zh-CN"/>
        </w:rPr>
        <w:t>竞争性谈判</w:t>
      </w:r>
      <w:r>
        <w:rPr>
          <w:rFonts w:hint="eastAsia" w:ascii="宋体" w:hAnsi="宋体" w:cs="Arial"/>
          <w:color w:val="auto"/>
          <w:kern w:val="0"/>
          <w:szCs w:val="21"/>
          <w:highlight w:val="none"/>
        </w:rPr>
        <w:t>文件的要求，同时还必须满足使用要求；产品必须能通过</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的质量验收等各类验收。</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3</w:t>
      </w:r>
      <w:r>
        <w:rPr>
          <w:rFonts w:hint="eastAsia" w:ascii="宋体" w:hAnsi="宋体" w:cs="Arial"/>
          <w:color w:val="auto"/>
          <w:kern w:val="0"/>
          <w:szCs w:val="21"/>
          <w:highlight w:val="none"/>
        </w:rPr>
        <w:t>.满足技术参数、配置（功能）、原厂售后要求。</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4</w:t>
      </w:r>
      <w:r>
        <w:rPr>
          <w:rFonts w:hint="eastAsia" w:ascii="宋体" w:hAnsi="宋体" w:cs="Arial"/>
          <w:color w:val="auto"/>
          <w:kern w:val="0"/>
          <w:szCs w:val="21"/>
          <w:highlight w:val="none"/>
        </w:rPr>
        <w:t>.验收时间：货到安装调试完成后7个工作日内。</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5</w:t>
      </w:r>
      <w:r>
        <w:rPr>
          <w:rFonts w:hint="eastAsia" w:ascii="宋体" w:hAnsi="宋体" w:cs="Arial"/>
          <w:color w:val="auto"/>
          <w:kern w:val="0"/>
          <w:szCs w:val="21"/>
          <w:highlight w:val="none"/>
        </w:rPr>
        <w:t>.产品硬件配置必须按配置要求在原厂出厂时全部自带。所有产品外包装箱不得自行拆封，包装箱上所有标签等不得涂改或撕毁，原厂原包装送货，不接受另外改装、供应商自已提供的延长质保服务等，以防止影响原厂商的售后服务，否则</w:t>
      </w:r>
      <w:r>
        <w:rPr>
          <w:rFonts w:hint="eastAsia" w:ascii="宋体" w:hAnsi="宋体" w:cs="Arial"/>
          <w:color w:val="auto"/>
          <w:kern w:val="0"/>
          <w:szCs w:val="21"/>
          <w:highlight w:val="none"/>
          <w:lang w:eastAsia="zh-CN"/>
        </w:rPr>
        <w:t>采购人</w:t>
      </w:r>
      <w:r>
        <w:rPr>
          <w:rFonts w:hint="eastAsia" w:ascii="宋体" w:hAnsi="宋体" w:cs="Arial"/>
          <w:color w:val="auto"/>
          <w:kern w:val="0"/>
          <w:szCs w:val="21"/>
          <w:highlight w:val="none"/>
        </w:rPr>
        <w:t>有权拒绝验收。</w:t>
      </w:r>
    </w:p>
    <w:p>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lang w:val="en-US" w:eastAsia="zh-CN"/>
        </w:rPr>
        <w:t>6</w:t>
      </w:r>
      <w:r>
        <w:rPr>
          <w:rFonts w:hint="eastAsia" w:ascii="宋体" w:hAnsi="宋体" w:cs="Arial"/>
          <w:color w:val="auto"/>
          <w:kern w:val="0"/>
          <w:szCs w:val="21"/>
          <w:highlight w:val="none"/>
        </w:rPr>
        <w:t>.符合产品本身的规格、技术条件及</w:t>
      </w:r>
      <w:r>
        <w:rPr>
          <w:rFonts w:hint="eastAsia" w:ascii="宋体" w:hAnsi="宋体" w:cs="Arial"/>
          <w:color w:val="auto"/>
          <w:kern w:val="0"/>
          <w:szCs w:val="21"/>
          <w:highlight w:val="none"/>
          <w:lang w:eastAsia="zh-CN"/>
        </w:rPr>
        <w:t>成交供应商</w:t>
      </w:r>
      <w:r>
        <w:rPr>
          <w:rFonts w:hint="eastAsia" w:ascii="宋体" w:hAnsi="宋体" w:cs="Arial"/>
          <w:color w:val="auto"/>
          <w:kern w:val="0"/>
          <w:szCs w:val="21"/>
          <w:highlight w:val="none"/>
        </w:rPr>
        <w:t>承诺的其它指标。</w:t>
      </w:r>
    </w:p>
    <w:p>
      <w:pPr>
        <w:spacing w:line="360" w:lineRule="exact"/>
        <w:ind w:right="210" w:firstLine="211" w:firstLineChars="100"/>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、质保期</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售后服务</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运维服务及培训</w:t>
      </w:r>
    </w:p>
    <w:p>
      <w:pPr>
        <w:snapToGrid w:val="0"/>
        <w:spacing w:line="360" w:lineRule="exact"/>
        <w:ind w:firstLine="428" w:firstLineChars="200"/>
        <w:rPr>
          <w:rFonts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1.质保期：本项目产品的免费质保期为</w:t>
      </w:r>
      <w:r>
        <w:rPr>
          <w:rFonts w:hint="eastAsia" w:asciiTheme="minorEastAsia" w:hAnsiTheme="minorEastAsia" w:eastAsiaTheme="minorEastAsia"/>
          <w:color w:val="auto"/>
          <w:spacing w:val="2"/>
          <w:szCs w:val="21"/>
          <w:highlight w:val="none"/>
          <w:lang w:val="en-US" w:eastAsia="zh-CN"/>
        </w:rPr>
        <w:t>壹</w:t>
      </w:r>
      <w:r>
        <w:rPr>
          <w:rFonts w:hint="eastAsia" w:asciiTheme="minorEastAsia" w:hAnsiTheme="minorEastAsia" w:eastAsiaTheme="minorEastAsia"/>
          <w:color w:val="auto"/>
          <w:spacing w:val="2"/>
          <w:szCs w:val="21"/>
          <w:highlight w:val="none"/>
        </w:rPr>
        <w:t>年</w:t>
      </w:r>
      <w:r>
        <w:rPr>
          <w:rFonts w:hint="eastAsia" w:asciiTheme="minorEastAsia" w:hAnsiTheme="minorEastAsia" w:eastAsiaTheme="minorEastAsia"/>
          <w:color w:val="auto"/>
          <w:spacing w:val="2"/>
          <w:szCs w:val="21"/>
          <w:highlight w:val="none"/>
          <w:lang w:eastAsia="zh-CN"/>
        </w:rPr>
        <w:t>，</w:t>
      </w:r>
      <w:r>
        <w:rPr>
          <w:rFonts w:hint="eastAsia" w:ascii="宋体" w:hAnsi="宋体" w:cs="宋体"/>
          <w:bCs/>
          <w:color w:val="auto"/>
          <w:szCs w:val="21"/>
          <w:highlight w:val="none"/>
        </w:rPr>
        <w:t>免费质保期从产品验收合格之日起算</w:t>
      </w:r>
      <w:r>
        <w:rPr>
          <w:rFonts w:hint="eastAsia" w:asciiTheme="minorEastAsia" w:hAnsiTheme="minorEastAsia" w:eastAsiaTheme="minorEastAsia"/>
          <w:color w:val="auto"/>
          <w:spacing w:val="2"/>
          <w:szCs w:val="21"/>
          <w:highlight w:val="none"/>
        </w:rPr>
        <w:t>。</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2.</w:t>
      </w:r>
      <w:r>
        <w:rPr>
          <w:rFonts w:hint="eastAsia" w:ascii="宋体" w:hAnsi="宋体" w:cs="宋体"/>
          <w:bCs/>
          <w:color w:val="auto"/>
          <w:szCs w:val="21"/>
          <w:highlight w:val="none"/>
          <w:lang w:eastAsia="zh-CN"/>
        </w:rPr>
        <w:t>成交供应商</w:t>
      </w:r>
      <w:r>
        <w:rPr>
          <w:rFonts w:hint="eastAsia" w:ascii="宋体" w:hAnsi="宋体" w:cs="宋体"/>
          <w:bCs/>
          <w:color w:val="auto"/>
          <w:szCs w:val="21"/>
          <w:highlight w:val="none"/>
        </w:rPr>
        <w:t>交货时需提供产品原厂质量承诺保证函，如不能提供，</w:t>
      </w:r>
      <w:r>
        <w:rPr>
          <w:rFonts w:hint="eastAsia" w:ascii="宋体" w:hAnsi="宋体" w:cs="宋体"/>
          <w:bCs/>
          <w:color w:val="auto"/>
          <w:szCs w:val="21"/>
          <w:highlight w:val="none"/>
          <w:lang w:eastAsia="zh-CN"/>
        </w:rPr>
        <w:t>采购人</w:t>
      </w:r>
      <w:r>
        <w:rPr>
          <w:rFonts w:hint="eastAsia" w:ascii="宋体" w:hAnsi="宋体" w:cs="宋体"/>
          <w:bCs/>
          <w:color w:val="auto"/>
          <w:szCs w:val="21"/>
          <w:highlight w:val="none"/>
        </w:rPr>
        <w:t>有权终止合同。</w:t>
      </w:r>
    </w:p>
    <w:p>
      <w:pPr>
        <w:spacing w:line="360" w:lineRule="exact"/>
        <w:ind w:firstLine="428" w:firstLineChars="200"/>
        <w:jc w:val="left"/>
        <w:rPr>
          <w:rFonts w:ascii="宋体" w:hAnsi="宋体" w:cs="宋体"/>
          <w:bCs/>
          <w:color w:val="auto"/>
          <w:szCs w:val="21"/>
          <w:highlight w:val="none"/>
        </w:rPr>
      </w:pPr>
      <w:r>
        <w:rPr>
          <w:rFonts w:hint="eastAsia" w:asciiTheme="minorEastAsia" w:hAnsiTheme="minorEastAsia" w:eastAsiaTheme="minorEastAsia"/>
          <w:color w:val="auto"/>
          <w:spacing w:val="2"/>
          <w:szCs w:val="21"/>
          <w:highlight w:val="none"/>
        </w:rPr>
        <w:t>3</w:t>
      </w:r>
      <w:r>
        <w:rPr>
          <w:rFonts w:hint="eastAsia" w:ascii="宋体" w:hAnsi="宋体" w:cs="宋体"/>
          <w:bCs/>
          <w:color w:val="auto"/>
          <w:szCs w:val="21"/>
          <w:highlight w:val="none"/>
        </w:rPr>
        <w:t>.售后服务</w:t>
      </w:r>
    </w:p>
    <w:p>
      <w:pPr>
        <w:spacing w:line="36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成交供应商对所投所有货物质保和运维费用均已包含在谈判总价中。免费质保运维期满后，应提供优先的有偿售后服务及按不高于谈判响应文件中主要配件、易损件清单所报价格供应原厂零配件等。软件终身免费升级、免费使用。</w:t>
      </w:r>
    </w:p>
    <w:p>
      <w:pPr>
        <w:spacing w:line="36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成交供应商须设有维修服务电话，负责解答用户在货物使用中遇到的问题，及时提出解决问题的建议和操作方法。</w:t>
      </w:r>
    </w:p>
    <w:p>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运维服务响应时间：如货物出现质量问题，成交供应商须立即响应,电话响应无法解决，成交供应商必须在接报修电话1小时内到达现场检修。对于普通故障，修复时间不超过24小时；如不能解决的，成交供应商需在24小时内免费提供备品备件供采购人使用。免费质保期内如货物出现质量问题，成交供应商负责免费修复，对于无法修复的情况，成交供应商负责免费更换。</w:t>
      </w:r>
    </w:p>
    <w:p>
      <w:pPr>
        <w:spacing w:line="360" w:lineRule="exact"/>
        <w:ind w:right="21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5</w:t>
      </w:r>
      <w:r>
        <w:rPr>
          <w:rFonts w:hint="eastAsia" w:ascii="宋体" w:hAnsi="宋体" w:cs="宋体"/>
          <w:b w:val="0"/>
          <w:bCs/>
          <w:color w:val="auto"/>
          <w:szCs w:val="21"/>
          <w:highlight w:val="none"/>
          <w:lang w:val="en-US" w:eastAsia="zh-CN"/>
        </w:rPr>
        <w:t>.</w:t>
      </w:r>
      <w:r>
        <w:rPr>
          <w:rFonts w:hint="eastAsia" w:ascii="宋体" w:hAnsi="宋体" w:cs="宋体"/>
          <w:b w:val="0"/>
          <w:bCs/>
          <w:color w:val="auto"/>
          <w:szCs w:val="21"/>
          <w:highlight w:val="none"/>
        </w:rPr>
        <w:t>培训：</w:t>
      </w:r>
    </w:p>
    <w:p>
      <w:pPr>
        <w:spacing w:line="360" w:lineRule="exact"/>
        <w:ind w:right="210" w:firstLine="210" w:firstLineChars="1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1</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成交供应商应对采购人的操作人员提供现场培训。</w:t>
      </w:r>
    </w:p>
    <w:p>
      <w:pPr>
        <w:spacing w:line="360" w:lineRule="exact"/>
        <w:ind w:right="210" w:firstLine="210" w:firstLineChars="1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2</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现场培训能够根据采购人需要，合理安排，使采购人能够全面掌握设备的工作原理，熟练独立操作设备，并能够对设备进行日常维护与保养，简单故障诊断与排除。</w:t>
      </w:r>
    </w:p>
    <w:p>
      <w:pPr>
        <w:spacing w:line="360" w:lineRule="exact"/>
        <w:ind w:right="210" w:firstLine="210" w:firstLineChars="100"/>
        <w:jc w:val="left"/>
        <w:rPr>
          <w:rFonts w:hint="eastAsia" w:ascii="宋体" w:hAnsi="宋体" w:cs="宋体"/>
          <w:b/>
          <w:color w:val="auto"/>
          <w:szCs w:val="21"/>
          <w:highlight w:val="none"/>
        </w:rPr>
      </w:pP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培训费用包含在</w:t>
      </w:r>
      <w:r>
        <w:rPr>
          <w:rFonts w:hint="eastAsia" w:ascii="宋体" w:hAnsi="宋体" w:cs="宋体"/>
          <w:b w:val="0"/>
          <w:bCs/>
          <w:color w:val="auto"/>
          <w:szCs w:val="21"/>
          <w:highlight w:val="none"/>
          <w:lang w:val="en-US" w:eastAsia="zh-CN"/>
        </w:rPr>
        <w:t>谈判总</w:t>
      </w:r>
      <w:r>
        <w:rPr>
          <w:rFonts w:hint="eastAsia" w:ascii="宋体" w:hAnsi="宋体" w:cs="宋体"/>
          <w:b w:val="0"/>
          <w:bCs/>
          <w:color w:val="auto"/>
          <w:szCs w:val="21"/>
          <w:highlight w:val="none"/>
        </w:rPr>
        <w:t>价中。</w:t>
      </w:r>
    </w:p>
    <w:p>
      <w:pPr>
        <w:spacing w:line="360" w:lineRule="exact"/>
        <w:ind w:right="210" w:firstLine="211" w:firstLineChars="100"/>
        <w:jc w:val="left"/>
        <w:rPr>
          <w:rFonts w:ascii="宋体" w:hAnsi="宋体" w:cs="宋体"/>
          <w:b/>
          <w:color w:val="auto"/>
          <w:szCs w:val="21"/>
          <w:highlight w:val="none"/>
        </w:rPr>
      </w:pPr>
      <w:r>
        <w:rPr>
          <w:rFonts w:hint="eastAsia" w:ascii="宋体" w:hAnsi="宋体" w:cs="宋体"/>
          <w:b/>
          <w:color w:val="auto"/>
          <w:szCs w:val="21"/>
          <w:highlight w:val="none"/>
          <w:lang w:val="en-US" w:eastAsia="zh-CN"/>
        </w:rPr>
        <w:t>十</w:t>
      </w:r>
      <w:r>
        <w:rPr>
          <w:rFonts w:hint="eastAsia" w:ascii="宋体" w:hAnsi="宋体" w:cs="宋体"/>
          <w:b/>
          <w:color w:val="auto"/>
          <w:szCs w:val="21"/>
          <w:highlight w:val="none"/>
        </w:rPr>
        <w:t>、付款方式</w:t>
      </w:r>
    </w:p>
    <w:p>
      <w:pPr>
        <w:snapToGrid w:val="0"/>
        <w:spacing w:line="360" w:lineRule="exact"/>
        <w:ind w:firstLine="420" w:firstLineChars="200"/>
        <w:rPr>
          <w:rFonts w:asciiTheme="minorEastAsia" w:hAnsiTheme="minorEastAsia" w:eastAsiaTheme="minorEastAsia"/>
          <w:color w:val="auto"/>
          <w:spacing w:val="2"/>
          <w:szCs w:val="21"/>
          <w:highlight w:val="none"/>
        </w:rPr>
      </w:pPr>
      <w:r>
        <w:rPr>
          <w:rFonts w:hint="eastAsia" w:ascii="宋体" w:hAnsi="宋体" w:cs="宋体"/>
          <w:b w:val="0"/>
          <w:bCs/>
          <w:color w:val="auto"/>
          <w:szCs w:val="21"/>
          <w:highlight w:val="none"/>
        </w:rPr>
        <w:t>合同生效后</w:t>
      </w:r>
      <w:r>
        <w:rPr>
          <w:rFonts w:hint="eastAsia" w:ascii="宋体" w:hAnsi="宋体" w:cs="宋体"/>
          <w:b w:val="0"/>
          <w:bCs/>
          <w:color w:val="auto"/>
          <w:szCs w:val="21"/>
          <w:highlight w:val="none"/>
          <w:lang w:eastAsia="zh-CN"/>
        </w:rPr>
        <w:t>成交供应商</w:t>
      </w:r>
      <w:r>
        <w:rPr>
          <w:rFonts w:hint="eastAsia" w:ascii="宋体" w:hAnsi="宋体" w:cs="宋体"/>
          <w:b w:val="0"/>
          <w:bCs/>
          <w:color w:val="auto"/>
          <w:szCs w:val="21"/>
          <w:highlight w:val="none"/>
        </w:rPr>
        <w:t>在合同规定的时间内全部运送到交货地点、安装调试完毕，经验收合格后支付货款。</w:t>
      </w:r>
    </w:p>
    <w:p>
      <w:pPr>
        <w:spacing w:line="380" w:lineRule="exact"/>
        <w:ind w:right="210" w:firstLine="211" w:firstLineChars="100"/>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十一</w:t>
      </w:r>
      <w:r>
        <w:rPr>
          <w:rFonts w:ascii="宋体" w:hAnsi="宋体" w:cs="宋体"/>
          <w:b/>
          <w:color w:val="auto"/>
          <w:szCs w:val="21"/>
          <w:highlight w:val="none"/>
        </w:rPr>
        <w:t>、其他要求</w:t>
      </w:r>
    </w:p>
    <w:p>
      <w:pPr>
        <w:tabs>
          <w:tab w:val="left" w:pos="540"/>
        </w:tabs>
        <w:spacing w:line="360" w:lineRule="exact"/>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highlight w:val="none"/>
          <w:lang w:eastAsia="zh-CN"/>
        </w:rPr>
        <w:t>投标人</w:t>
      </w:r>
      <w:r>
        <w:rPr>
          <w:rFonts w:hint="eastAsia" w:ascii="宋体" w:hAnsi="宋体"/>
          <w:color w:val="auto"/>
          <w:highlight w:val="none"/>
        </w:rPr>
        <w:t>应承诺</w:t>
      </w:r>
      <w:r>
        <w:rPr>
          <w:rFonts w:hint="eastAsia" w:ascii="宋体" w:hAnsi="宋体"/>
          <w:color w:val="auto"/>
          <w:highlight w:val="none"/>
          <w:lang w:val="en-US" w:eastAsia="zh-CN"/>
        </w:rPr>
        <w:t>竞争性谈判</w:t>
      </w:r>
      <w:r>
        <w:rPr>
          <w:rFonts w:hint="eastAsia" w:ascii="宋体" w:hAnsi="宋体"/>
          <w:color w:val="auto"/>
          <w:highlight w:val="none"/>
          <w:lang w:eastAsia="zh-CN"/>
        </w:rPr>
        <w:t>文件</w:t>
      </w:r>
      <w:r>
        <w:rPr>
          <w:rFonts w:hint="eastAsia" w:ascii="宋体" w:hAnsi="宋体"/>
          <w:color w:val="auto"/>
          <w:highlight w:val="none"/>
        </w:rPr>
        <w:t>中提出的全部要求，如果其中某些条款不响应时，应在</w:t>
      </w:r>
      <w:r>
        <w:rPr>
          <w:rFonts w:hint="eastAsia" w:ascii="宋体" w:hAnsi="宋体"/>
          <w:color w:val="auto"/>
          <w:highlight w:val="none"/>
          <w:lang w:val="en-US" w:eastAsia="zh-CN"/>
        </w:rPr>
        <w:t>谈判</w:t>
      </w:r>
      <w:r>
        <w:rPr>
          <w:rFonts w:hint="eastAsia" w:ascii="宋体" w:hAnsi="宋体"/>
          <w:color w:val="auto"/>
          <w:highlight w:val="none"/>
        </w:rPr>
        <w:t>响应文件中列出，未列出的视为响应。</w:t>
      </w:r>
    </w:p>
    <w:p>
      <w:pPr>
        <w:tabs>
          <w:tab w:val="left" w:pos="540"/>
        </w:tabs>
        <w:spacing w:line="360" w:lineRule="exact"/>
        <w:ind w:firstLine="420" w:firstLineChars="200"/>
        <w:rPr>
          <w:rFonts w:ascii="宋体" w:hAnsi="宋体"/>
          <w:color w:val="auto"/>
          <w:highlight w:val="none"/>
        </w:rPr>
      </w:pPr>
      <w:r>
        <w:rPr>
          <w:rFonts w:hint="eastAsia" w:ascii="宋体" w:hAnsi="宋体"/>
          <w:color w:val="auto"/>
          <w:highlight w:val="none"/>
        </w:rPr>
        <w:t>2.所提供产品质量必须符合国家相关标准，必</w:t>
      </w:r>
      <w:r>
        <w:rPr>
          <w:rFonts w:ascii="宋体" w:hAnsi="宋体"/>
          <w:color w:val="auto"/>
          <w:highlight w:val="none"/>
        </w:rPr>
        <w:t>须完全满足</w:t>
      </w:r>
      <w:r>
        <w:rPr>
          <w:rFonts w:hint="eastAsia" w:ascii="宋体" w:hAnsi="宋体"/>
          <w:color w:val="auto"/>
          <w:highlight w:val="none"/>
          <w:lang w:eastAsia="zh-CN"/>
        </w:rPr>
        <w:t>竞争性谈判文件</w:t>
      </w:r>
      <w:r>
        <w:rPr>
          <w:rFonts w:hint="eastAsia" w:ascii="宋体" w:hAnsi="宋体"/>
          <w:color w:val="auto"/>
          <w:highlight w:val="none"/>
        </w:rPr>
        <w:t>的要求，若所供的产品经产品质量检测机构检测认定质量不合格，所造成的损失和后果由</w:t>
      </w:r>
      <w:r>
        <w:rPr>
          <w:rFonts w:hint="eastAsia" w:ascii="宋体" w:hAnsi="宋体"/>
          <w:color w:val="auto"/>
          <w:highlight w:val="none"/>
          <w:lang w:eastAsia="zh-CN"/>
        </w:rPr>
        <w:t>成交供应商</w:t>
      </w:r>
      <w:r>
        <w:rPr>
          <w:rFonts w:hint="eastAsia" w:ascii="宋体" w:hAnsi="宋体"/>
          <w:color w:val="auto"/>
          <w:highlight w:val="none"/>
        </w:rPr>
        <w:t>负责。</w:t>
      </w:r>
    </w:p>
    <w:p>
      <w:pPr>
        <w:tabs>
          <w:tab w:val="left" w:pos="540"/>
        </w:tabs>
        <w:spacing w:line="360" w:lineRule="exact"/>
        <w:ind w:firstLine="420" w:firstLineChars="200"/>
        <w:rPr>
          <w:rFonts w:hint="eastAsia" w:asciiTheme="minorEastAsia" w:hAnsiTheme="minorEastAsia" w:eastAsiaTheme="minorEastAsia"/>
          <w:color w:val="auto"/>
          <w:spacing w:val="2"/>
          <w:szCs w:val="21"/>
          <w:highlight w:val="none"/>
        </w:rPr>
      </w:pPr>
      <w:r>
        <w:rPr>
          <w:rFonts w:hint="eastAsia" w:ascii="宋体" w:hAnsi="宋体"/>
          <w:color w:val="auto"/>
          <w:highlight w:val="none"/>
        </w:rPr>
        <w:t>3.标的物由</w:t>
      </w:r>
      <w:r>
        <w:rPr>
          <w:rFonts w:hint="eastAsia" w:ascii="宋体" w:hAnsi="宋体"/>
          <w:color w:val="auto"/>
          <w:highlight w:val="none"/>
          <w:lang w:eastAsia="zh-CN"/>
        </w:rPr>
        <w:t>成交供应商</w:t>
      </w:r>
      <w:r>
        <w:rPr>
          <w:rFonts w:hint="eastAsia" w:ascii="宋体" w:hAnsi="宋体"/>
          <w:color w:val="auto"/>
          <w:highlight w:val="none"/>
        </w:rPr>
        <w:t>负责安装，现场调试。所有安装施工材料质量及施工质量必须严格按照国家有关要求执行。</w:t>
      </w:r>
      <w:r>
        <w:rPr>
          <w:rFonts w:hint="eastAsia" w:ascii="宋体" w:hAnsi="宋体"/>
          <w:color w:val="auto"/>
          <w:highlight w:val="none"/>
          <w:lang w:eastAsia="zh-CN"/>
        </w:rPr>
        <w:t>成交供应商</w:t>
      </w:r>
      <w:r>
        <w:rPr>
          <w:rFonts w:hint="eastAsia" w:ascii="宋体" w:hAnsi="宋体"/>
          <w:color w:val="auto"/>
          <w:highlight w:val="none"/>
        </w:rPr>
        <w:t>对安装施工安全、质量全面负责，并承担成品保护，如因</w:t>
      </w:r>
      <w:r>
        <w:rPr>
          <w:rFonts w:hint="eastAsia" w:ascii="宋体" w:hAnsi="宋体"/>
          <w:color w:val="auto"/>
          <w:highlight w:val="none"/>
          <w:lang w:eastAsia="zh-CN"/>
        </w:rPr>
        <w:t>成交供应商</w:t>
      </w:r>
      <w:r>
        <w:rPr>
          <w:rFonts w:hint="eastAsia" w:ascii="宋体" w:hAnsi="宋体"/>
          <w:color w:val="auto"/>
          <w:highlight w:val="none"/>
        </w:rPr>
        <w:t>原因造成安全、质量事故或成品损坏，由</w:t>
      </w:r>
      <w:r>
        <w:rPr>
          <w:rFonts w:hint="eastAsia" w:ascii="宋体" w:hAnsi="宋体"/>
          <w:color w:val="auto"/>
          <w:highlight w:val="none"/>
          <w:lang w:eastAsia="zh-CN"/>
        </w:rPr>
        <w:t>成交供应商</w:t>
      </w:r>
      <w:r>
        <w:rPr>
          <w:rFonts w:hint="eastAsia" w:ascii="宋体" w:hAnsi="宋体"/>
          <w:color w:val="auto"/>
          <w:highlight w:val="none"/>
        </w:rPr>
        <w:t>承担一切经济法律责任。</w:t>
      </w:r>
    </w:p>
    <w:p>
      <w:pPr>
        <w:snapToGrid w:val="0"/>
        <w:spacing w:line="360" w:lineRule="exact"/>
        <w:ind w:firstLine="428" w:firstLineChars="200"/>
        <w:rPr>
          <w:rFonts w:hint="eastAsia" w:asciiTheme="minorEastAsia" w:hAnsiTheme="minorEastAsia" w:eastAsiaTheme="minorEastAsia"/>
          <w:color w:val="auto"/>
          <w:spacing w:val="2"/>
          <w:szCs w:val="21"/>
          <w:highlight w:val="none"/>
        </w:rPr>
        <w:sectPr>
          <w:footerReference r:id="rId7"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2" w:firstLineChars="201"/>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         ，产品名称、规格及数量详见乙方谈判响应文件。</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4" w:firstLineChars="201"/>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本合同总价款是货物设计、制造、包装、仓储、运输装缷、保险、安装调试</w:t>
      </w:r>
      <w:r>
        <w:rPr>
          <w:rFonts w:hint="eastAsia" w:cs="宋体" w:asciiTheme="minorEastAsia" w:hAnsiTheme="minorEastAsia"/>
          <w:color w:val="auto"/>
          <w:sz w:val="21"/>
          <w:szCs w:val="21"/>
          <w:highlight w:val="none"/>
          <w:lang w:eastAsia="zh-CN"/>
        </w:rPr>
        <w:t>、</w:t>
      </w:r>
      <w:r>
        <w:rPr>
          <w:rFonts w:hint="eastAsia" w:cs="宋体" w:asciiTheme="minorEastAsia" w:hAnsiTheme="minorEastAsia"/>
          <w:color w:val="auto"/>
          <w:sz w:val="21"/>
          <w:szCs w:val="21"/>
          <w:highlight w:val="none"/>
        </w:rPr>
        <w:t>质保、运维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文件规定的技术规格及所附的“技术规格响应表”相一致；若技术性能无特殊说明，则按国家有关部门最新颁布的标准及规范为准。</w:t>
      </w:r>
    </w:p>
    <w:p>
      <w:pPr>
        <w:pStyle w:val="6"/>
        <w:spacing w:line="360" w:lineRule="exact"/>
        <w:ind w:firstLine="422" w:firstLineChars="201"/>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天内将货物安装调试完毕交付甲方正常使用，地点由甲方指定。</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文件有约定的，从其约定。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所规定的货物、数量和规格要求。乙方提供的货物不符合</w:t>
      </w:r>
      <w:r>
        <w:rPr>
          <w:rFonts w:hint="eastAsia" w:asciiTheme="minorEastAsia" w:hAnsiTheme="minorEastAsia" w:eastAsiaTheme="minorEastAsia"/>
          <w:color w:val="auto"/>
          <w:szCs w:val="21"/>
          <w:highlight w:val="none"/>
          <w:lang w:eastAsia="zh-CN"/>
        </w:rPr>
        <w:t>谈判响应文件</w:t>
      </w:r>
      <w:r>
        <w:rPr>
          <w:rFonts w:hint="eastAsia" w:asciiTheme="minorEastAsia" w:hAnsiTheme="minorEastAsia" w:eastAsiaTheme="minorEastAsia"/>
          <w:color w:val="auto"/>
          <w:szCs w:val="21"/>
          <w:highlight w:val="none"/>
        </w:rPr>
        <w:t>和合同规定的，甲方有权拒收货物，由此引起的风险，由乙方承担。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5.货物和系统调试验收的标准：按行业通行标准、厂方出厂标准和乙方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响应文件的承诺（详见合同附件载明的标准，并不低于国家相关标准）。甲乙双方应在货物安装调试完毕后的</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a.重新调试直至合格为止；</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b.要求乙方对货物进行免费更换，然后重新调试直至合格为止。</w:t>
      </w:r>
    </w:p>
    <w:p>
      <w:pPr>
        <w:pStyle w:val="6"/>
        <w:spacing w:line="360" w:lineRule="exact"/>
        <w:ind w:firstLine="422" w:firstLineChars="201"/>
        <w:rPr>
          <w:rFonts w:cs="宋体" w:asciiTheme="minorEastAsia" w:hAnsiTheme="minorEastAsia"/>
          <w:b/>
          <w:color w:val="auto"/>
          <w:sz w:val="21"/>
          <w:szCs w:val="21"/>
          <w:highlight w:val="none"/>
        </w:rPr>
      </w:pPr>
      <w:r>
        <w:rPr>
          <w:rFonts w:hint="eastAsia" w:asciiTheme="minorEastAsia" w:hAnsiTheme="minorEastAsia"/>
          <w:color w:val="auto"/>
          <w:sz w:val="21"/>
          <w:szCs w:val="21"/>
          <w:highlight w:val="none"/>
        </w:rPr>
        <w:t>甲方因乙方原因所产生的所有费用均由乙方负担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3.结算</w:t>
      </w:r>
      <w:r>
        <w:rPr>
          <w:rFonts w:asciiTheme="minorEastAsia" w:hAnsiTheme="minorEastAsia" w:eastAsiaTheme="minorEastAsia"/>
          <w:color w:val="auto"/>
          <w:szCs w:val="21"/>
          <w:highlight w:val="none"/>
        </w:rPr>
        <w:t>原则：按实结算</w:t>
      </w:r>
      <w:r>
        <w:rPr>
          <w:rFonts w:hint="eastAsia" w:asciiTheme="minorEastAsia" w:hAnsiTheme="minorEastAsia" w:eastAsiaTheme="minorEastAsia"/>
          <w:color w:val="auto"/>
          <w:szCs w:val="21"/>
          <w:highlight w:val="none"/>
        </w:rPr>
        <w:t>。</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4.如设计变更，增加的设备在清单中有的，按</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时的报价执行，若增加的设备在清单中没有的，结算时参照相似设备的</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报价，双方协商解决。</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5</w:t>
      </w:r>
      <w:r>
        <w:rPr>
          <w:rFonts w:hint="eastAsia" w:asciiTheme="minorEastAsia" w:hAnsiTheme="minorEastAsia" w:eastAsiaTheme="minorEastAsia"/>
          <w:color w:val="auto"/>
          <w:szCs w:val="21"/>
          <w:highlight w:val="none"/>
        </w:rPr>
        <w:t>.付款方式：</w:t>
      </w:r>
      <w:r>
        <w:rPr>
          <w:rFonts w:hint="eastAsia" w:asciiTheme="minorEastAsia" w:hAnsiTheme="minorEastAsia" w:eastAsiaTheme="minorEastAsia" w:cstheme="minorEastAsia"/>
          <w:color w:val="auto"/>
          <w:szCs w:val="21"/>
          <w:highlight w:val="none"/>
        </w:rPr>
        <w:t>合同生效后</w:t>
      </w:r>
      <w:r>
        <w:rPr>
          <w:rFonts w:hint="eastAsia" w:asciiTheme="minorEastAsia" w:hAnsiTheme="minorEastAsia" w:eastAsiaTheme="minorEastAsia" w:cstheme="minorEastAsia"/>
          <w:color w:val="auto"/>
          <w:szCs w:val="21"/>
          <w:highlight w:val="none"/>
          <w:lang w:val="en-US" w:eastAsia="zh-CN"/>
        </w:rPr>
        <w:t>乙方</w:t>
      </w:r>
      <w:r>
        <w:rPr>
          <w:rFonts w:hint="eastAsia" w:asciiTheme="minorEastAsia" w:hAnsiTheme="minorEastAsia" w:eastAsiaTheme="minorEastAsia" w:cstheme="minorEastAsia"/>
          <w:color w:val="auto"/>
          <w:szCs w:val="21"/>
          <w:highlight w:val="none"/>
        </w:rPr>
        <w:t>在合同规定的时间内全部运送到交货地点、安装调试完毕，经验收合格后支付货款。</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伴随服务／售后服务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1.乙方应按照国家有关法律法规规章和“三包”规定以及合同所附的“服务承诺”提供服务。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2.除前款规定外，乙方还应提供下列服务：</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（1）货物的现场安装、调试和/或启动监督；</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（2）就货物的安装、启动、运行及维护等对甲方人员进行免费培训。</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3.若</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文件中不包含有关伴随服务或售后服务的承诺，双方作如下约定：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3.2 所购货物按乙方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承诺提供免费维护和质量保证，保修费用计入总价。</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 保修期内，乙方负责对其提供的货物整机进行维修和系统维护，不再收取任何费用，但不可抗力（如火灾、雷击等）造成的故障除外。</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 货物故障报修的响应时间按乙方</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承诺执行。</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3.5 若货物故障在检修8工作小时后仍无法排除，乙方应在48小时内免费提供不低于故障货物规格型号档次的备用货物供甲方使用，直至故障货物修复。</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3.6 所有货物保修服务方式均为乙方上门保修，即由乙方派员到货物使用现场维修，由此产生的一切费用均由乙方承担。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3.7 保修期后的货物维护由双方协商再定。</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 本项目免费保修期为</w:t>
      </w:r>
      <w:r>
        <w:rPr>
          <w:rFonts w:hint="eastAsia" w:asciiTheme="minorEastAsia" w:hAnsiTheme="minorEastAsia" w:eastAsiaTheme="minorEastAsia"/>
          <w:color w:val="auto"/>
          <w:szCs w:val="21"/>
          <w:highlight w:val="none"/>
          <w:u w:val="single"/>
        </w:rPr>
        <w:t xml:space="preserve">   年</w:t>
      </w:r>
      <w:r>
        <w:rPr>
          <w:rFonts w:hint="eastAsia" w:asciiTheme="minorEastAsia" w:hAnsiTheme="minorEastAsia" w:eastAsiaTheme="minorEastAsia"/>
          <w:color w:val="auto"/>
          <w:szCs w:val="21"/>
          <w:highlight w:val="none"/>
        </w:rPr>
        <w:t>。自产品验收合格之日起计算。</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第十条 违约责任</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如乙方不能按时交付货物完成安装调试的，每逾期1天，乙方向甲方偿付合同总额5‰的违约金；乙方逾期交付货物或完成安装调试超过10天（含10天），甲方有权解除合同，同时有权要求乙方按照合同总价5%的标准支付违约金，解除合同的通知自发出之日生效。</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2.甲方未按合同规定的期限向乙方支付货款的，每逾期1天甲方向乙方偿付欠款总额的5‰滞纳金，但累计滞纳金总额不超过欠款总额的5%。</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3.乙方所交付的货物品种、型号、规格不符合合同规定的，甲方有权拒收，同时有权解除合同，解除合同的通知自发出之日生效。</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.乙方未按本合同的规定和“服务承诺”提供伴随服务/售后服务的，甲方有权提前解除本合同，同时乙方应按合同总价款的5 %向甲方承担违约责任。</w:t>
      </w:r>
    </w:p>
    <w:p>
      <w:pPr>
        <w:spacing w:line="360" w:lineRule="exact"/>
        <w:ind w:firstLine="420" w:firstLineChars="200"/>
        <w:rPr>
          <w:color w:val="auto"/>
          <w:highlight w:val="none"/>
        </w:rPr>
      </w:pPr>
      <w:r>
        <w:rPr>
          <w:rFonts w:hint="eastAsia"/>
          <w:color w:val="auto"/>
          <w:highlight w:val="none"/>
          <w:lang w:val="en-US" w:eastAsia="zh-CN"/>
        </w:rPr>
        <w:t>6</w:t>
      </w:r>
      <w:r>
        <w:rPr>
          <w:color w:val="auto"/>
          <w:highlight w:val="none"/>
        </w:rPr>
        <w:t>.</w:t>
      </w:r>
      <w:r>
        <w:rPr>
          <w:rFonts w:hint="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color w:val="auto"/>
          <w:highlight w:val="none"/>
        </w:rPr>
      </w:pPr>
      <w:r>
        <w:rPr>
          <w:rFonts w:hint="eastAsia"/>
          <w:color w:val="auto"/>
          <w:highlight w:val="none"/>
          <w:lang w:val="en-US" w:eastAsia="zh-CN"/>
        </w:rPr>
        <w:t>7</w:t>
      </w:r>
      <w:r>
        <w:rPr>
          <w:color w:val="auto"/>
          <w:highlight w:val="none"/>
        </w:rPr>
        <w:t>.</w:t>
      </w:r>
      <w:r>
        <w:rPr>
          <w:rFonts w:hint="eastAsia"/>
          <w:color w:val="auto"/>
          <w:highlight w:val="none"/>
        </w:rPr>
        <w:t>乙方投标属虚假承诺，或经权威部门监测提供的货物不能满足</w:t>
      </w:r>
      <w:r>
        <w:rPr>
          <w:rFonts w:hint="eastAsia"/>
          <w:color w:val="auto"/>
          <w:highlight w:val="none"/>
          <w:lang w:eastAsia="zh-CN"/>
        </w:rPr>
        <w:t>竞争性谈判</w:t>
      </w:r>
      <w:r>
        <w:rPr>
          <w:rFonts w:hint="eastAsia"/>
          <w:color w:val="auto"/>
          <w:highlight w:val="none"/>
        </w:rPr>
        <w:t>文件要求，或是由于乙方的过错造成合同无法继续履行的，应向甲方支付不少于合同总价</w:t>
      </w:r>
      <w:r>
        <w:rPr>
          <w:color w:val="auto"/>
          <w:highlight w:val="none"/>
        </w:rPr>
        <w:t>30%违约</w:t>
      </w:r>
      <w:r>
        <w:rPr>
          <w:rFonts w:hint="eastAsia"/>
          <w:color w:val="auto"/>
          <w:highlight w:val="none"/>
        </w:rPr>
        <w:t>金</w:t>
      </w:r>
      <w:r>
        <w:rPr>
          <w:color w:val="auto"/>
          <w:highlight w:val="none"/>
        </w:rPr>
        <w:t>，</w:t>
      </w:r>
      <w:r>
        <w:rPr>
          <w:rFonts w:hint="eastAsia"/>
          <w:color w:val="auto"/>
          <w:highlight w:val="none"/>
        </w:rPr>
        <w:t>若</w:t>
      </w:r>
      <w:r>
        <w:rPr>
          <w:color w:val="auto"/>
          <w:highlight w:val="none"/>
        </w:rPr>
        <w:t>该违约金</w:t>
      </w:r>
      <w:r>
        <w:rPr>
          <w:rFonts w:hint="eastAsia"/>
          <w:color w:val="auto"/>
          <w:highlight w:val="none"/>
        </w:rPr>
        <w:t>不足以</w:t>
      </w:r>
      <w:r>
        <w:rPr>
          <w:color w:val="auto"/>
          <w:highlight w:val="none"/>
        </w:rPr>
        <w:t>弥补甲方损失，</w:t>
      </w:r>
      <w:r>
        <w:rPr>
          <w:rFonts w:hint="eastAsia"/>
          <w:color w:val="auto"/>
          <w:highlight w:val="none"/>
        </w:rPr>
        <w:t>则应当</w:t>
      </w:r>
      <w:r>
        <w:rPr>
          <w:color w:val="auto"/>
          <w:highlight w:val="none"/>
        </w:rPr>
        <w:t>赔偿甲方所有损失</w:t>
      </w:r>
      <w:r>
        <w:rPr>
          <w:rFonts w:hint="eastAsia"/>
          <w:color w:val="auto"/>
          <w:highlight w:val="none"/>
        </w:rPr>
        <w:t>。</w:t>
      </w:r>
    </w:p>
    <w:p>
      <w:pPr>
        <w:spacing w:line="360" w:lineRule="exact"/>
        <w:ind w:firstLine="420" w:firstLineChars="200"/>
        <w:rPr>
          <w:color w:val="auto"/>
          <w:highlight w:val="none"/>
        </w:rPr>
      </w:pPr>
      <w:r>
        <w:rPr>
          <w:rFonts w:hint="eastAsia"/>
          <w:color w:val="auto"/>
          <w:highlight w:val="none"/>
          <w:lang w:val="en-US" w:eastAsia="zh-CN"/>
        </w:rPr>
        <w:t>8</w:t>
      </w:r>
      <w:r>
        <w:rPr>
          <w:color w:val="auto"/>
          <w:highlight w:val="none"/>
        </w:rPr>
        <w:t>.</w:t>
      </w:r>
      <w:r>
        <w:rPr>
          <w:rFonts w:hint="eastAsia"/>
          <w:color w:val="auto"/>
          <w:highlight w:val="none"/>
        </w:rPr>
        <w:t>其他未尽事宜，以《</w:t>
      </w:r>
      <w:r>
        <w:rPr>
          <w:rFonts w:hint="eastAsia"/>
          <w:color w:val="auto"/>
          <w:highlight w:val="none"/>
          <w:lang w:eastAsia="zh-CN"/>
        </w:rPr>
        <w:t>中华人民共和国民法典</w:t>
      </w:r>
      <w:r>
        <w:rPr>
          <w:rFonts w:hint="eastAsia"/>
          <w:color w:val="auto"/>
          <w:highlight w:val="none"/>
        </w:rPr>
        <w:t>》等有关法律法规规定为准，无相关规定的，双方协商解决。</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合同的变更和终止</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第十二条 合同的转让</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第十三条 不可抗力</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第十四条 </w:t>
      </w:r>
      <w:r>
        <w:rPr>
          <w:rFonts w:asciiTheme="minorEastAsia" w:hAnsiTheme="minorEastAsia" w:eastAsiaTheme="minorEastAsia"/>
          <w:b/>
          <w:color w:val="auto"/>
          <w:szCs w:val="21"/>
          <w:highlight w:val="none"/>
        </w:rPr>
        <w:t>质量问题或缺陷的</w:t>
      </w:r>
      <w:r>
        <w:rPr>
          <w:rFonts w:hint="eastAsia" w:asciiTheme="minorEastAsia" w:hAnsiTheme="minorEastAsia" w:eastAsiaTheme="minorEastAsia"/>
          <w:b/>
          <w:color w:val="auto"/>
          <w:szCs w:val="21"/>
          <w:highlight w:val="none"/>
        </w:rPr>
        <w:t>索赔</w:t>
      </w:r>
    </w:p>
    <w:p>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乙方</w:t>
      </w:r>
      <w:r>
        <w:rPr>
          <w:rFonts w:hint="eastAsia" w:asciiTheme="minorEastAsia" w:hAnsiTheme="minorEastAsia" w:eastAsiaTheme="minorEastAsia"/>
          <w:color w:val="auto"/>
          <w:szCs w:val="21"/>
          <w:highlight w:val="none"/>
        </w:rPr>
        <w:t>交付</w:t>
      </w:r>
      <w:r>
        <w:rPr>
          <w:rFonts w:asciiTheme="minorEastAsia" w:hAnsiTheme="minorEastAsia" w:eastAsiaTheme="minorEastAsia"/>
          <w:color w:val="auto"/>
          <w:szCs w:val="21"/>
          <w:highlight w:val="none"/>
        </w:rPr>
        <w:t>货物后，甲方发现</w:t>
      </w:r>
      <w:r>
        <w:rPr>
          <w:rFonts w:hint="eastAsia" w:asciiTheme="minorEastAsia" w:hAnsiTheme="minorEastAsia" w:eastAsiaTheme="minorEastAsia"/>
          <w:color w:val="auto"/>
          <w:szCs w:val="21"/>
          <w:highlight w:val="none"/>
        </w:rPr>
        <w:t>货物</w:t>
      </w:r>
      <w:r>
        <w:rPr>
          <w:rFonts w:asciiTheme="minorEastAsia" w:hAnsiTheme="minorEastAsia" w:eastAsiaTheme="minorEastAsia"/>
          <w:color w:val="auto"/>
          <w:szCs w:val="21"/>
          <w:highlight w:val="none"/>
        </w:rPr>
        <w:t>的</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与合同内容不符或证实</w:t>
      </w:r>
      <w:r>
        <w:rPr>
          <w:rFonts w:hint="eastAsia" w:asciiTheme="minorEastAsia" w:hAnsiTheme="minorEastAsia" w:eastAsiaTheme="minorEastAsia"/>
          <w:color w:val="auto"/>
          <w:szCs w:val="21"/>
          <w:highlight w:val="none"/>
        </w:rPr>
        <w:t>货物存在</w:t>
      </w:r>
      <w:r>
        <w:rPr>
          <w:rFonts w:asciiTheme="minorEastAsia" w:hAnsiTheme="minorEastAsia" w:eastAsiaTheme="minorEastAsia"/>
          <w:color w:val="auto"/>
          <w:szCs w:val="21"/>
          <w:highlight w:val="none"/>
        </w:rPr>
        <w:t>缺陷的</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包括潜在缺陷</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，乙方应在收到甲方索赔通知后3</w:t>
      </w:r>
      <w:r>
        <w:rPr>
          <w:rFonts w:hint="eastAsia" w:asciiTheme="minorEastAsia" w:hAnsiTheme="minorEastAsia" w:eastAsiaTheme="minorEastAsia"/>
          <w:color w:val="auto"/>
          <w:szCs w:val="21"/>
          <w:highlight w:val="none"/>
        </w:rPr>
        <w:t>日</w:t>
      </w:r>
      <w:r>
        <w:rPr>
          <w:rFonts w:asciiTheme="minorEastAsia" w:hAnsiTheme="minorEastAsia" w:eastAsiaTheme="minorEastAsia"/>
          <w:color w:val="auto"/>
          <w:szCs w:val="21"/>
          <w:highlight w:val="none"/>
        </w:rPr>
        <w:t>内到甲方</w:t>
      </w:r>
      <w:r>
        <w:rPr>
          <w:rFonts w:hint="eastAsia" w:asciiTheme="minorEastAsia" w:hAnsiTheme="minorEastAsia" w:eastAsiaTheme="minorEastAsia"/>
          <w:color w:val="auto"/>
          <w:szCs w:val="21"/>
          <w:highlight w:val="none"/>
        </w:rPr>
        <w:t>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商量</w:t>
      </w:r>
      <w:r>
        <w:rPr>
          <w:rFonts w:asciiTheme="minorEastAsia" w:hAnsiTheme="minorEastAsia" w:eastAsiaTheme="minorEastAsia"/>
          <w:color w:val="auto"/>
          <w:szCs w:val="21"/>
          <w:highlight w:val="none"/>
        </w:rPr>
        <w:t>解决货物</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或缺陷问题。若乙方未</w:t>
      </w:r>
      <w:r>
        <w:rPr>
          <w:rFonts w:hint="eastAsia" w:asciiTheme="minorEastAsia" w:hAnsiTheme="minorEastAsia" w:eastAsiaTheme="minorEastAsia"/>
          <w:color w:val="auto"/>
          <w:szCs w:val="21"/>
          <w:highlight w:val="none"/>
        </w:rPr>
        <w:t>在</w:t>
      </w:r>
      <w:r>
        <w:rPr>
          <w:rFonts w:asciiTheme="minorEastAsia" w:hAnsiTheme="minorEastAsia" w:eastAsiaTheme="minorEastAsia"/>
          <w:color w:val="auto"/>
          <w:szCs w:val="21"/>
          <w:highlight w:val="none"/>
        </w:rPr>
        <w:t>上述约定时间</w:t>
      </w:r>
      <w:r>
        <w:rPr>
          <w:rFonts w:hint="eastAsia" w:asciiTheme="minorEastAsia" w:hAnsiTheme="minorEastAsia" w:eastAsiaTheme="minorEastAsia"/>
          <w:color w:val="auto"/>
          <w:szCs w:val="21"/>
          <w:highlight w:val="none"/>
        </w:rPr>
        <w:t>内</w:t>
      </w:r>
      <w:r>
        <w:rPr>
          <w:rFonts w:asciiTheme="minorEastAsia" w:hAnsiTheme="minorEastAsia" w:eastAsiaTheme="minorEastAsia"/>
          <w:color w:val="auto"/>
          <w:szCs w:val="21"/>
          <w:highlight w:val="none"/>
        </w:rPr>
        <w:t>到场解决，</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产生的损失以及扩大损失全部由乙方承担，</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有权选择</w:t>
      </w:r>
      <w:r>
        <w:rPr>
          <w:rFonts w:hint="eastAsia" w:asciiTheme="minorEastAsia" w:hAnsiTheme="minorEastAsia" w:eastAsiaTheme="minorEastAsia"/>
          <w:color w:val="auto"/>
          <w:szCs w:val="21"/>
          <w:highlight w:val="none"/>
        </w:rPr>
        <w:t>解除</w:t>
      </w:r>
      <w:r>
        <w:rPr>
          <w:rFonts w:asciiTheme="minorEastAsia" w:hAnsiTheme="minorEastAsia" w:eastAsiaTheme="minorEastAsia"/>
          <w:color w:val="auto"/>
          <w:szCs w:val="21"/>
          <w:highlight w:val="none"/>
        </w:rPr>
        <w:t>合同，</w:t>
      </w:r>
      <w:r>
        <w:rPr>
          <w:rFonts w:hint="eastAsia" w:asciiTheme="minorEastAsia" w:hAnsiTheme="minorEastAsia" w:eastAsiaTheme="minorEastAsia"/>
          <w:color w:val="auto"/>
          <w:szCs w:val="21"/>
          <w:highlight w:val="none"/>
        </w:rPr>
        <w:t>要求退还</w:t>
      </w:r>
      <w:r>
        <w:rPr>
          <w:rFonts w:asciiTheme="minorEastAsia" w:hAnsiTheme="minorEastAsia" w:eastAsiaTheme="minorEastAsia"/>
          <w:color w:val="auto"/>
          <w:szCs w:val="21"/>
          <w:highlight w:val="none"/>
        </w:rPr>
        <w:t>全部货物，</w:t>
      </w:r>
      <w:r>
        <w:rPr>
          <w:rFonts w:hint="eastAsia" w:asciiTheme="minorEastAsia" w:hAnsiTheme="minorEastAsia" w:eastAsiaTheme="minorEastAsia"/>
          <w:color w:val="auto"/>
          <w:szCs w:val="21"/>
          <w:highlight w:val="none"/>
        </w:rPr>
        <w:t>返还</w:t>
      </w:r>
      <w:r>
        <w:rPr>
          <w:rFonts w:asciiTheme="minorEastAsia" w:hAnsiTheme="minorEastAsia" w:eastAsiaTheme="minorEastAsia"/>
          <w:color w:val="auto"/>
          <w:szCs w:val="21"/>
          <w:highlight w:val="none"/>
        </w:rPr>
        <w:t>所有货款，</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或者</w:t>
      </w:r>
      <w:r>
        <w:rPr>
          <w:rFonts w:asciiTheme="minorEastAsia" w:hAnsiTheme="minorEastAsia" w:eastAsiaTheme="minorEastAsia"/>
          <w:color w:val="auto"/>
          <w:szCs w:val="21"/>
          <w:highlight w:val="none"/>
        </w:rPr>
        <w:t>有权安排第三方</w:t>
      </w:r>
      <w:r>
        <w:rPr>
          <w:rFonts w:hint="eastAsia" w:asciiTheme="minorEastAsia" w:hAnsiTheme="minorEastAsia" w:eastAsiaTheme="minorEastAsia"/>
          <w:color w:val="auto"/>
          <w:szCs w:val="21"/>
          <w:highlight w:val="none"/>
        </w:rPr>
        <w:t>解决</w:t>
      </w:r>
      <w:r>
        <w:rPr>
          <w:rFonts w:asciiTheme="minorEastAsia" w:hAnsiTheme="minorEastAsia" w:eastAsiaTheme="minorEastAsia"/>
          <w:color w:val="auto"/>
          <w:szCs w:val="21"/>
          <w:highlight w:val="none"/>
        </w:rPr>
        <w:t>货物质量或缺陷问题，</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w:t>
      </w:r>
      <w:r>
        <w:rPr>
          <w:rFonts w:hint="eastAsia" w:asciiTheme="minorEastAsia" w:hAnsiTheme="minorEastAsia" w:eastAsiaTheme="minorEastAsia"/>
          <w:color w:val="auto"/>
          <w:szCs w:val="21"/>
          <w:highlight w:val="none"/>
        </w:rPr>
        <w:t>的</w:t>
      </w:r>
      <w:r>
        <w:rPr>
          <w:rFonts w:asciiTheme="minorEastAsia" w:hAnsiTheme="minorEastAsia" w:eastAsiaTheme="minorEastAsia"/>
          <w:color w:val="auto"/>
          <w:szCs w:val="21"/>
          <w:highlight w:val="none"/>
        </w:rPr>
        <w:t>所有费用全部由乙方承担，</w:t>
      </w:r>
      <w:r>
        <w:rPr>
          <w:rFonts w:hint="eastAsia" w:asciiTheme="minorEastAsia" w:hAnsiTheme="minorEastAsia" w:eastAsiaTheme="minorEastAsia"/>
          <w:color w:val="auto"/>
          <w:szCs w:val="21"/>
          <w:highlight w:val="none"/>
        </w:rPr>
        <w:t>甲方可以</w:t>
      </w:r>
      <w:r>
        <w:rPr>
          <w:rFonts w:asciiTheme="minorEastAsia" w:hAnsiTheme="minorEastAsia" w:eastAsiaTheme="minorEastAsia"/>
          <w:color w:val="auto"/>
          <w:szCs w:val="21"/>
          <w:highlight w:val="none"/>
        </w:rPr>
        <w:t>在应付乙方的货款中直接扣除，</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若上述违约金不足以弥补甲方直接损失和</w:t>
      </w:r>
      <w:r>
        <w:rPr>
          <w:rFonts w:hint="eastAsia" w:asciiTheme="minorEastAsia" w:hAnsiTheme="minorEastAsia" w:eastAsiaTheme="minorEastAsia"/>
          <w:color w:val="auto"/>
          <w:szCs w:val="21"/>
          <w:highlight w:val="none"/>
        </w:rPr>
        <w:t>间接</w:t>
      </w:r>
      <w:r>
        <w:rPr>
          <w:rFonts w:asciiTheme="minorEastAsia" w:hAnsiTheme="minorEastAsia" w:eastAsiaTheme="minorEastAsia"/>
          <w:color w:val="auto"/>
          <w:szCs w:val="21"/>
          <w:highlight w:val="none"/>
        </w:rPr>
        <w:t>损失，</w:t>
      </w:r>
      <w:r>
        <w:rPr>
          <w:rFonts w:hint="eastAsia" w:asciiTheme="minorEastAsia" w:hAnsiTheme="minorEastAsia" w:eastAsiaTheme="minorEastAsia"/>
          <w:color w:val="auto"/>
          <w:szCs w:val="21"/>
          <w:highlight w:val="none"/>
        </w:rPr>
        <w:t>则</w:t>
      </w:r>
      <w:r>
        <w:rPr>
          <w:rFonts w:asciiTheme="minorEastAsia" w:hAnsiTheme="minorEastAsia" w:eastAsiaTheme="minorEastAsia"/>
          <w:color w:val="auto"/>
          <w:szCs w:val="21"/>
          <w:highlight w:val="none"/>
        </w:rPr>
        <w:t>乙方应赔偿</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所有损失。</w:t>
      </w:r>
    </w:p>
    <w:p>
      <w:pPr>
        <w:adjustRightInd w:val="0"/>
        <w:snapToGrid w:val="0"/>
        <w:spacing w:line="360" w:lineRule="exac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因主张上述权利</w:t>
      </w:r>
      <w:r>
        <w:rPr>
          <w:rFonts w:hint="eastAsia" w:asciiTheme="minorEastAsia" w:hAnsiTheme="minorEastAsia" w:eastAsiaTheme="minorEastAsia"/>
          <w:color w:val="auto"/>
          <w:szCs w:val="21"/>
          <w:highlight w:val="none"/>
        </w:rPr>
        <w:t>而</w:t>
      </w:r>
      <w:r>
        <w:rPr>
          <w:rFonts w:asciiTheme="minorEastAsia" w:hAnsiTheme="minorEastAsia" w:eastAsiaTheme="minorEastAsia"/>
          <w:color w:val="auto"/>
          <w:szCs w:val="21"/>
          <w:highlight w:val="none"/>
        </w:rPr>
        <w:t>支出的所有合理费用，</w:t>
      </w:r>
      <w:r>
        <w:rPr>
          <w:rFonts w:hint="eastAsia" w:asciiTheme="minorEastAsia" w:hAnsiTheme="minorEastAsia" w:eastAsiaTheme="minorEastAsia"/>
          <w:color w:val="auto"/>
          <w:szCs w:val="21"/>
          <w:highlight w:val="none"/>
        </w:rPr>
        <w:t>包括</w:t>
      </w:r>
      <w:r>
        <w:rPr>
          <w:rFonts w:asciiTheme="minorEastAsia" w:hAnsiTheme="minorEastAsia" w:eastAsiaTheme="minorEastAsia"/>
          <w:color w:val="auto"/>
          <w:szCs w:val="21"/>
          <w:highlight w:val="none"/>
        </w:rPr>
        <w:t>但不限于律师费、</w:t>
      </w:r>
      <w:r>
        <w:rPr>
          <w:rFonts w:hint="eastAsia" w:asciiTheme="minorEastAsia" w:hAnsiTheme="minorEastAsia" w:eastAsiaTheme="minorEastAsia"/>
          <w:color w:val="auto"/>
          <w:szCs w:val="21"/>
          <w:highlight w:val="none"/>
        </w:rPr>
        <w:t>诉讼费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鉴定费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差旅费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保函</w:t>
      </w:r>
      <w:r>
        <w:rPr>
          <w:rFonts w:asciiTheme="minorEastAsia" w:hAnsiTheme="minorEastAsia" w:eastAsiaTheme="minorEastAsia"/>
          <w:color w:val="auto"/>
          <w:szCs w:val="21"/>
          <w:highlight w:val="none"/>
        </w:rPr>
        <w:t>费等，</w:t>
      </w:r>
      <w:r>
        <w:rPr>
          <w:rFonts w:hint="eastAsia" w:asciiTheme="minorEastAsia" w:hAnsiTheme="minorEastAsia" w:eastAsiaTheme="minorEastAsia"/>
          <w:color w:val="auto"/>
          <w:szCs w:val="21"/>
          <w:highlight w:val="none"/>
        </w:rPr>
        <w:t>均由</w:t>
      </w:r>
      <w:r>
        <w:rPr>
          <w:rFonts w:asciiTheme="minorEastAsia" w:hAnsiTheme="minorEastAsia" w:eastAsiaTheme="minorEastAsia"/>
          <w:color w:val="auto"/>
          <w:szCs w:val="21"/>
          <w:highlight w:val="none"/>
        </w:rPr>
        <w:t>乙方承担。</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第十五条</w:t>
      </w:r>
      <w:r>
        <w:rPr>
          <w:rFonts w:asciiTheme="minorEastAsia" w:hAnsiTheme="minorEastAsia" w:eastAsiaTheme="minorEastAsia"/>
          <w:b/>
          <w:color w:val="auto"/>
          <w:szCs w:val="21"/>
          <w:highlight w:val="none"/>
        </w:rPr>
        <w:t xml:space="preserve"> </w:t>
      </w:r>
      <w:r>
        <w:rPr>
          <w:rFonts w:hint="eastAsia" w:asciiTheme="minorEastAsia" w:hAnsiTheme="minorEastAsia" w:eastAsiaTheme="minorEastAsia"/>
          <w:b/>
          <w:color w:val="auto"/>
          <w:szCs w:val="21"/>
          <w:highlight w:val="none"/>
        </w:rPr>
        <w:t>争议的解决</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2.因履行本合同引起的或与本合同有关的争议，甲、乙双方应首先通过友好协商解决，如果协商不能解决争议，则采取以下第（ ）种方式解决争议：</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3.在法院审理和仲裁期间，除有争议部分外，本合同其他部分应继续履行。</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第十六条 诚实信用 </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第十七条 合同生效及其他</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1.本合同自经甲乙双方授权代表签订并加盖公章后，自签订之日起生效。见证方仅对甲乙双方签订政府采购合同的事实进行见证，不代表任何承诺或保证，该合同的履行等相关情况均与见证方无任何关系。</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w:t>
      </w:r>
      <w:r>
        <w:rPr>
          <w:rFonts w:hint="eastAsia" w:asciiTheme="minorEastAsia" w:hAnsiTheme="minorEastAsia" w:eastAsiaTheme="minorEastAsia"/>
          <w:color w:val="auto"/>
          <w:szCs w:val="21"/>
          <w:highlight w:val="none"/>
          <w:lang w:eastAsia="zh-CN"/>
        </w:rPr>
        <w:t>见证方</w:t>
      </w:r>
      <w:r>
        <w:rPr>
          <w:rFonts w:hint="eastAsia" w:asciiTheme="minorEastAsia" w:hAnsiTheme="minorEastAsia" w:eastAsiaTheme="minorEastAsia"/>
          <w:color w:val="auto"/>
          <w:szCs w:val="21"/>
          <w:highlight w:val="none"/>
        </w:rPr>
        <w:t>执壹份存档。</w:t>
      </w:r>
    </w:p>
    <w:p>
      <w:pPr>
        <w:spacing w:line="360" w:lineRule="exact"/>
        <w:ind w:firstLine="422" w:firstLineChars="201"/>
        <w:rPr>
          <w:rFonts w:ascii="宋体" w:hAnsi="宋体" w:cs="宋体"/>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keepNext w:val="0"/>
        <w:keepLines w:val="0"/>
        <w:pageBreakBefore w:val="0"/>
        <w:widowControl w:val="0"/>
        <w:kinsoku/>
        <w:wordWrap/>
        <w:overflowPunct/>
        <w:topLinePunct w:val="0"/>
        <w:autoSpaceDE/>
        <w:autoSpaceDN/>
        <w:bidi w:val="0"/>
        <w:adjustRightInd/>
        <w:snapToGrid/>
        <w:spacing w:before="313" w:beforeLines="100" w:line="360" w:lineRule="exact"/>
        <w:ind w:firstLine="424" w:firstLineChars="202"/>
        <w:textAlignment w:val="auto"/>
        <w:rPr>
          <w:color w:val="auto"/>
          <w:highlight w:val="none"/>
        </w:rPr>
      </w:pPr>
      <w:r>
        <w:rPr>
          <w:rFonts w:hint="eastAsia"/>
          <w:color w:val="auto"/>
          <w:highlight w:val="none"/>
        </w:rPr>
        <w:t>一、本项目</w:t>
      </w:r>
      <w:r>
        <w:rPr>
          <w:color w:val="auto"/>
          <w:highlight w:val="none"/>
        </w:rPr>
        <w:t>采用</w:t>
      </w:r>
      <w:r>
        <w:rPr>
          <w:b/>
          <w:color w:val="auto"/>
          <w:highlight w:val="none"/>
        </w:rPr>
        <w:t>最低评标价法</w:t>
      </w:r>
      <w:r>
        <w:rPr>
          <w:rFonts w:hint="eastAsia"/>
          <w:b/>
          <w:color w:val="auto"/>
          <w:highlight w:val="none"/>
        </w:rPr>
        <w:t>，</w:t>
      </w:r>
      <w:r>
        <w:rPr>
          <w:rFonts w:hint="eastAsia"/>
          <w:color w:val="auto"/>
          <w:highlight w:val="none"/>
        </w:rPr>
        <w:t>即</w:t>
      </w:r>
      <w:r>
        <w:rPr>
          <w:rFonts w:hint="eastAsia"/>
          <w:color w:val="auto"/>
          <w:highlight w:val="none"/>
          <w:lang w:eastAsia="zh-CN"/>
        </w:rPr>
        <w:t>响应文件</w:t>
      </w:r>
      <w:r>
        <w:rPr>
          <w:rFonts w:hint="eastAsia"/>
          <w:color w:val="auto"/>
          <w:highlight w:val="none"/>
        </w:rPr>
        <w:t>满足</w:t>
      </w:r>
      <w:r>
        <w:rPr>
          <w:rFonts w:hint="eastAsia"/>
          <w:color w:val="auto"/>
          <w:highlight w:val="none"/>
          <w:lang w:eastAsia="zh-CN"/>
        </w:rPr>
        <w:t>竞争性谈判文件</w:t>
      </w:r>
      <w:r>
        <w:rPr>
          <w:rFonts w:hint="eastAsia"/>
          <w:color w:val="auto"/>
          <w:highlight w:val="none"/>
        </w:rPr>
        <w:t>全部实质性要求且最终报价最低的</w:t>
      </w:r>
      <w:r>
        <w:rPr>
          <w:rFonts w:hint="eastAsia"/>
          <w:color w:val="auto"/>
          <w:highlight w:val="none"/>
          <w:lang w:val="en-US" w:eastAsia="zh-CN"/>
        </w:rPr>
        <w:t>供应商</w:t>
      </w:r>
      <w:r>
        <w:rPr>
          <w:rFonts w:hint="eastAsia"/>
          <w:color w:val="auto"/>
          <w:highlight w:val="none"/>
        </w:rPr>
        <w:t>为</w:t>
      </w:r>
      <w:r>
        <w:rPr>
          <w:rFonts w:hint="eastAsia"/>
          <w:color w:val="auto"/>
          <w:highlight w:val="none"/>
          <w:lang w:val="en-US" w:eastAsia="zh-CN"/>
        </w:rPr>
        <w:t>成交供应商</w:t>
      </w:r>
      <w:r>
        <w:rPr>
          <w:rFonts w:hint="eastAsia"/>
          <w:color w:val="auto"/>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二、报价在</w:t>
      </w:r>
      <w:r>
        <w:rPr>
          <w:rFonts w:hint="eastAsia"/>
          <w:color w:val="auto"/>
          <w:szCs w:val="22"/>
          <w:highlight w:val="none"/>
          <w:lang w:eastAsia="zh-CN"/>
        </w:rPr>
        <w:t>最高限价</w:t>
      </w:r>
      <w:r>
        <w:rPr>
          <w:rFonts w:hint="eastAsia"/>
          <w:color w:val="auto"/>
          <w:szCs w:val="22"/>
          <w:highlight w:val="none"/>
        </w:rPr>
        <w:t>以下的，为有效报价。超出此范围的报价为无效报价。无效报价的</w:t>
      </w:r>
      <w:r>
        <w:rPr>
          <w:rFonts w:hint="eastAsia"/>
          <w:color w:val="auto"/>
          <w:szCs w:val="22"/>
          <w:highlight w:val="none"/>
          <w:lang w:eastAsia="zh-CN"/>
        </w:rPr>
        <w:t>响应文件</w:t>
      </w:r>
      <w:r>
        <w:rPr>
          <w:rFonts w:hint="eastAsia"/>
          <w:color w:val="auto"/>
          <w:szCs w:val="22"/>
          <w:highlight w:val="none"/>
        </w:rPr>
        <w:t>不进行评审，也不得</w:t>
      </w:r>
      <w:r>
        <w:rPr>
          <w:rFonts w:hint="eastAsia"/>
          <w:color w:val="auto"/>
          <w:szCs w:val="22"/>
          <w:highlight w:val="none"/>
          <w:lang w:val="en-US" w:eastAsia="zh-CN"/>
        </w:rPr>
        <w:t>成交</w:t>
      </w:r>
      <w:r>
        <w:rPr>
          <w:rFonts w:hint="eastAsia"/>
          <w:color w:val="auto"/>
          <w:szCs w:val="22"/>
          <w:highlight w:val="none"/>
        </w:rPr>
        <w:t>。</w:t>
      </w:r>
    </w:p>
    <w:p>
      <w:pPr>
        <w:spacing w:line="360" w:lineRule="exact"/>
        <w:ind w:firstLine="424" w:firstLineChars="202"/>
        <w:rPr>
          <w:rFonts w:hint="eastAsia"/>
          <w:color w:val="auto"/>
          <w:szCs w:val="22"/>
          <w:highlight w:val="none"/>
        </w:rPr>
      </w:pPr>
      <w:r>
        <w:rPr>
          <w:rFonts w:hint="eastAsia"/>
          <w:color w:val="auto"/>
          <w:szCs w:val="22"/>
          <w:highlight w:val="none"/>
        </w:rPr>
        <w:t>三、报价相同的，质保期最长的的</w:t>
      </w:r>
      <w:r>
        <w:rPr>
          <w:rFonts w:hint="eastAsia"/>
          <w:color w:val="auto"/>
          <w:highlight w:val="none"/>
          <w:lang w:val="en-US" w:eastAsia="zh-CN"/>
        </w:rPr>
        <w:t>供应商</w:t>
      </w:r>
      <w:r>
        <w:rPr>
          <w:rFonts w:hint="eastAsia"/>
          <w:color w:val="auto"/>
          <w:szCs w:val="22"/>
          <w:highlight w:val="none"/>
        </w:rPr>
        <w:t>确定为</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；报价相同且质保期相同的，由采购人抽签确定</w:t>
      </w:r>
      <w:r>
        <w:rPr>
          <w:rFonts w:hint="eastAsia"/>
          <w:color w:val="auto"/>
          <w:szCs w:val="22"/>
          <w:highlight w:val="none"/>
          <w:lang w:val="en-US" w:eastAsia="zh-CN"/>
        </w:rPr>
        <w:t>成交</w:t>
      </w:r>
      <w:r>
        <w:rPr>
          <w:rFonts w:hint="eastAsia"/>
          <w:color w:val="auto"/>
          <w:highlight w:val="none"/>
          <w:lang w:val="en-US" w:eastAsia="zh-CN"/>
        </w:rPr>
        <w:t>供应商</w:t>
      </w:r>
      <w:r>
        <w:rPr>
          <w:rFonts w:hint="eastAsia"/>
          <w:color w:val="auto"/>
          <w:szCs w:val="22"/>
          <w:highlight w:val="none"/>
        </w:rPr>
        <w:t>。</w:t>
      </w:r>
      <w:r>
        <w:rPr>
          <w:rFonts w:hint="eastAsia"/>
          <w:color w:val="auto"/>
          <w:szCs w:val="22"/>
          <w:highlight w:val="none"/>
        </w:rPr>
        <w:br w:type="page"/>
      </w: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6"/>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在采购活动实施过程中，有吵闹、起哄、斗殴等行为，扰乱开标现场或评审现场秩序的，以及在投标答疑、领取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采购人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9"/>
        <w:rPr>
          <w:rFonts w:hint="eastAsia"/>
          <w:color w:val="auto"/>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常州环保服务有限公司、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活动。为此，我单位郑重声明以下诸点，并负法律责任。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w:t>
      </w:r>
      <w:r>
        <w:rPr>
          <w:rFonts w:hint="eastAsia" w:asciiTheme="minorEastAsia" w:hAnsiTheme="minorEastAsia" w:eastAsiaTheme="minorEastAsia"/>
          <w:color w:val="auto"/>
          <w:sz w:val="21"/>
          <w:szCs w:val="21"/>
          <w:highlight w:val="none"/>
        </w:rPr>
        <w:t>规定的各项要求，向采购人提供所需货物与服务。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报价包括但不限于</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文件及其准备（包括现场踏勘、技术核对等）、设备（包括备品备件、专用工具）、技术资料、设计、制造、检验、包装、发货、运输、装卸至现场指定地点、安装调试、技术指导培训、质保期及维保服务和</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文件所要求的相关服务等全部内容。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6"/>
        <w:spacing w:line="360" w:lineRule="exact"/>
        <w:ind w:firstLine="405"/>
        <w:rPr>
          <w:rFonts w:cs="宋体"/>
          <w:color w:val="auto"/>
          <w:sz w:val="21"/>
          <w:szCs w:val="21"/>
          <w:highlight w:val="none"/>
        </w:rPr>
      </w:pPr>
      <w:r>
        <w:rPr>
          <w:rFonts w:hint="eastAsia" w:cs="宋体"/>
          <w:color w:val="auto"/>
          <w:sz w:val="21"/>
          <w:szCs w:val="21"/>
          <w:highlight w:val="none"/>
        </w:rPr>
        <w:t>9.与本</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6"/>
        <w:spacing w:line="360" w:lineRule="exact"/>
        <w:jc w:val="left"/>
        <w:rPr>
          <w:rFonts w:cs="宋体"/>
          <w:color w:val="auto"/>
          <w:sz w:val="21"/>
          <w:szCs w:val="21"/>
          <w:highlight w:val="none"/>
        </w:rPr>
      </w:pPr>
    </w:p>
    <w:p>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质保期</w:t>
            </w:r>
          </w:p>
        </w:tc>
        <w:tc>
          <w:tcPr>
            <w:tcW w:w="6662" w:type="dxa"/>
            <w:vAlign w:val="center"/>
          </w:tcPr>
          <w:p>
            <w:pPr>
              <w:widowControl/>
              <w:jc w:val="center"/>
              <w:rPr>
                <w:rFonts w:ascii="宋体" w:hAnsi="宋体"/>
                <w:color w:val="auto"/>
                <w:szCs w:val="21"/>
                <w:highlight w:val="none"/>
              </w:rPr>
            </w:pPr>
            <w:r>
              <w:rPr>
                <w:rFonts w:hint="eastAsia" w:ascii="宋体" w:hAnsi="宋体"/>
                <w:color w:val="auto"/>
                <w:szCs w:val="21"/>
                <w:highlight w:val="none"/>
              </w:rPr>
              <w:t>年</w:t>
            </w: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color w:val="auto"/>
          <w:szCs w:val="21"/>
          <w:highlight w:val="none"/>
        </w:rPr>
        <w:t xml:space="preserve"> </w:t>
      </w: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pacing w:line="360" w:lineRule="auto"/>
        <w:jc w:val="center"/>
        <w:rPr>
          <w:rFonts w:ascii="宋体" w:hAnsi="宋体"/>
          <w:b/>
          <w:color w:val="auto"/>
          <w:sz w:val="28"/>
          <w:szCs w:val="28"/>
          <w:highlight w:val="none"/>
        </w:rPr>
      </w:pPr>
      <w:r>
        <w:rPr>
          <w:rFonts w:hint="eastAsia" w:ascii="宋体" w:hAnsi="宋体" w:cs="宋体"/>
          <w:b/>
          <w:color w:val="auto"/>
          <w:sz w:val="28"/>
          <w:szCs w:val="28"/>
          <w:highlight w:val="none"/>
          <w:lang w:eastAsia="zh-CN"/>
        </w:rPr>
        <w:t>谈判</w:t>
      </w:r>
      <w:r>
        <w:rPr>
          <w:rFonts w:hint="eastAsia" w:ascii="宋体" w:hAnsi="宋体" w:cs="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设备</w:t>
            </w:r>
          </w:p>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w:t>
            </w:r>
            <w:r>
              <w:rPr>
                <w:rFonts w:hint="eastAsia" w:ascii="宋体" w:hAnsi="宋体" w:cs="Arial"/>
                <w:color w:val="auto"/>
                <w:kern w:val="0"/>
                <w:szCs w:val="21"/>
                <w:highlight w:val="none"/>
                <w:lang w:eastAsia="zh-CN"/>
              </w:rPr>
              <w:t>人</w:t>
            </w:r>
            <w:r>
              <w:rPr>
                <w:rFonts w:hint="eastAsia" w:ascii="宋体" w:hAnsi="宋体" w:cs="Arial"/>
                <w:color w:val="auto"/>
                <w:kern w:val="0"/>
                <w:szCs w:val="21"/>
                <w:highlight w:val="none"/>
              </w:rPr>
              <w:t>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pPr>
              <w:widowControl/>
              <w:snapToGrid w:val="0"/>
              <w:spacing w:line="360" w:lineRule="auto"/>
              <w:jc w:val="center"/>
              <w:rPr>
                <w:rFonts w:ascii="宋体" w:hAnsi="宋体" w:cs="Arial"/>
                <w:b/>
                <w:bCs/>
                <w:color w:val="auto"/>
                <w:kern w:val="0"/>
                <w:szCs w:val="21"/>
                <w:highlight w:val="none"/>
              </w:rPr>
            </w:pPr>
          </w:p>
        </w:tc>
        <w:tc>
          <w:tcPr>
            <w:tcW w:w="780" w:type="dxa"/>
            <w:vAlign w:val="center"/>
          </w:tcPr>
          <w:p>
            <w:pPr>
              <w:widowControl/>
              <w:snapToGrid w:val="0"/>
              <w:spacing w:line="360" w:lineRule="auto"/>
              <w:jc w:val="center"/>
              <w:rPr>
                <w:rFonts w:ascii="宋体" w:hAnsi="宋体" w:cs="Arial"/>
                <w:color w:val="auto"/>
                <w:kern w:val="0"/>
                <w:szCs w:val="21"/>
                <w:highlight w:val="none"/>
              </w:rPr>
            </w:pPr>
          </w:p>
        </w:tc>
        <w:tc>
          <w:tcPr>
            <w:tcW w:w="1117" w:type="dxa"/>
            <w:vAlign w:val="center"/>
          </w:tcPr>
          <w:p>
            <w:pPr>
              <w:widowControl/>
              <w:snapToGrid w:val="0"/>
              <w:spacing w:line="360" w:lineRule="auto"/>
              <w:jc w:val="center"/>
              <w:rPr>
                <w:rFonts w:ascii="宋体" w:hAnsi="宋体" w:cs="Arial"/>
                <w:color w:val="auto"/>
                <w:kern w:val="0"/>
                <w:szCs w:val="21"/>
                <w:highlight w:val="none"/>
              </w:rPr>
            </w:pPr>
          </w:p>
        </w:tc>
        <w:tc>
          <w:tcPr>
            <w:tcW w:w="1799" w:type="dxa"/>
            <w:vAlign w:val="center"/>
          </w:tcPr>
          <w:p>
            <w:pPr>
              <w:widowControl/>
              <w:snapToGrid w:val="0"/>
              <w:spacing w:line="360" w:lineRule="auto"/>
              <w:jc w:val="center"/>
              <w:rPr>
                <w:rFonts w:ascii="宋体" w:hAnsi="宋体" w:cs="Arial"/>
                <w:color w:val="auto"/>
                <w:kern w:val="0"/>
                <w:szCs w:val="21"/>
                <w:highlight w:val="none"/>
              </w:rPr>
            </w:pPr>
          </w:p>
        </w:tc>
        <w:tc>
          <w:tcPr>
            <w:tcW w:w="613" w:type="dxa"/>
            <w:vAlign w:val="center"/>
          </w:tcPr>
          <w:p>
            <w:pPr>
              <w:widowControl/>
              <w:snapToGrid w:val="0"/>
              <w:spacing w:line="360" w:lineRule="auto"/>
              <w:jc w:val="center"/>
              <w:rPr>
                <w:rFonts w:ascii="宋体" w:hAnsi="宋体" w:cs="Arial"/>
                <w:color w:val="auto"/>
                <w:kern w:val="0"/>
                <w:szCs w:val="21"/>
                <w:highlight w:val="none"/>
              </w:rPr>
            </w:pPr>
          </w:p>
        </w:tc>
        <w:tc>
          <w:tcPr>
            <w:tcW w:w="618" w:type="dxa"/>
            <w:vAlign w:val="center"/>
          </w:tcPr>
          <w:p>
            <w:pPr>
              <w:widowControl/>
              <w:snapToGrid w:val="0"/>
              <w:spacing w:line="360" w:lineRule="auto"/>
              <w:jc w:val="center"/>
              <w:rPr>
                <w:rFonts w:ascii="宋体" w:hAnsi="宋体" w:cs="Arial"/>
                <w:color w:val="auto"/>
                <w:kern w:val="0"/>
                <w:szCs w:val="21"/>
                <w:highlight w:val="none"/>
              </w:rPr>
            </w:pP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pPr>
              <w:widowControl/>
              <w:snapToGrid w:val="0"/>
              <w:spacing w:line="360" w:lineRule="auto"/>
              <w:jc w:val="center"/>
              <w:rPr>
                <w:rFonts w:ascii="宋体" w:hAnsi="宋体" w:cs="Arial"/>
                <w:color w:val="auto"/>
                <w:kern w:val="0"/>
                <w:szCs w:val="21"/>
                <w:highlight w:val="none"/>
              </w:rPr>
            </w:pPr>
          </w:p>
        </w:tc>
        <w:tc>
          <w:tcPr>
            <w:tcW w:w="1072" w:type="dxa"/>
            <w:vAlign w:val="center"/>
          </w:tcPr>
          <w:p>
            <w:pPr>
              <w:widowControl/>
              <w:snapToGrid w:val="0"/>
              <w:spacing w:line="360" w:lineRule="auto"/>
              <w:jc w:val="center"/>
              <w:rPr>
                <w:rFonts w:ascii="宋体" w:hAnsi="宋体" w:cs="Arial"/>
                <w:color w:val="auto"/>
                <w:kern w:val="0"/>
                <w:szCs w:val="21"/>
                <w:highlight w:val="none"/>
              </w:rPr>
            </w:pPr>
          </w:p>
        </w:tc>
      </w:tr>
    </w:tbl>
    <w:p>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pPr>
        <w:snapToGrid w:val="0"/>
        <w:spacing w:line="360" w:lineRule="auto"/>
        <w:rPr>
          <w:rFonts w:hint="eastAsia" w:eastAsia="宋体"/>
          <w:color w:val="auto"/>
          <w:szCs w:val="21"/>
          <w:highlight w:val="none"/>
          <w:lang w:eastAsia="zh-CN"/>
        </w:rPr>
      </w:pPr>
      <w:r>
        <w:rPr>
          <w:rFonts w:hint="eastAsia"/>
          <w:color w:val="auto"/>
          <w:szCs w:val="21"/>
          <w:highlight w:val="none"/>
        </w:rPr>
        <w:t>表式参考，可根据项目情况自行调整</w:t>
      </w:r>
      <w:r>
        <w:rPr>
          <w:rFonts w:hint="eastAsia"/>
          <w:color w:val="auto"/>
          <w:szCs w:val="21"/>
          <w:highlight w:val="none"/>
          <w:lang w:eastAsia="zh-CN"/>
        </w:rPr>
        <w:t>。</w:t>
      </w:r>
    </w:p>
    <w:p>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jc w:val="both"/>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竞争性谈判</w:t>
    </w:r>
    <w:r>
      <w:rPr>
        <w:rFonts w:hint="eastAsia" w:ascii="宋体" w:hAnsi="宋体" w:cs="宋体"/>
        <w:sz w:val="18"/>
        <w:szCs w:val="18"/>
        <w:lang w:eastAsia="zh-CN"/>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BFB59"/>
    <w:multiLevelType w:val="singleLevel"/>
    <w:tmpl w:val="B35BFB59"/>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0897661"/>
    <w:rsid w:val="00AB3D23"/>
    <w:rsid w:val="0203181E"/>
    <w:rsid w:val="025B26C3"/>
    <w:rsid w:val="03FE4155"/>
    <w:rsid w:val="06406686"/>
    <w:rsid w:val="0917644A"/>
    <w:rsid w:val="0A355F03"/>
    <w:rsid w:val="0AC456FE"/>
    <w:rsid w:val="0CF840A8"/>
    <w:rsid w:val="12575383"/>
    <w:rsid w:val="12D00772"/>
    <w:rsid w:val="130B2ECB"/>
    <w:rsid w:val="13D049AB"/>
    <w:rsid w:val="13DD0205"/>
    <w:rsid w:val="157C54AE"/>
    <w:rsid w:val="17612344"/>
    <w:rsid w:val="17894C60"/>
    <w:rsid w:val="17CB7AB1"/>
    <w:rsid w:val="199F3089"/>
    <w:rsid w:val="19D34041"/>
    <w:rsid w:val="19DF25B4"/>
    <w:rsid w:val="1C68474E"/>
    <w:rsid w:val="1D1E7639"/>
    <w:rsid w:val="1E376F75"/>
    <w:rsid w:val="2047536C"/>
    <w:rsid w:val="20510D4E"/>
    <w:rsid w:val="23030876"/>
    <w:rsid w:val="237972F9"/>
    <w:rsid w:val="24C02A8C"/>
    <w:rsid w:val="261F0EE8"/>
    <w:rsid w:val="26B30519"/>
    <w:rsid w:val="27107D65"/>
    <w:rsid w:val="27816FC0"/>
    <w:rsid w:val="282F1614"/>
    <w:rsid w:val="295F4D26"/>
    <w:rsid w:val="2D483BE9"/>
    <w:rsid w:val="2D990C72"/>
    <w:rsid w:val="2EE619C7"/>
    <w:rsid w:val="34691DBE"/>
    <w:rsid w:val="35120A01"/>
    <w:rsid w:val="36C66297"/>
    <w:rsid w:val="375436D0"/>
    <w:rsid w:val="37AD4689"/>
    <w:rsid w:val="39EA775C"/>
    <w:rsid w:val="3A987192"/>
    <w:rsid w:val="3D5D2732"/>
    <w:rsid w:val="3D60217E"/>
    <w:rsid w:val="3EF20AC8"/>
    <w:rsid w:val="413F7265"/>
    <w:rsid w:val="41577781"/>
    <w:rsid w:val="41894BD4"/>
    <w:rsid w:val="43012F5A"/>
    <w:rsid w:val="43887E77"/>
    <w:rsid w:val="44C10D82"/>
    <w:rsid w:val="44F557CA"/>
    <w:rsid w:val="47587EC6"/>
    <w:rsid w:val="485755FB"/>
    <w:rsid w:val="48AC4CEE"/>
    <w:rsid w:val="490B1E9C"/>
    <w:rsid w:val="4CC558DB"/>
    <w:rsid w:val="4CFE61A4"/>
    <w:rsid w:val="4D043CAC"/>
    <w:rsid w:val="4DC35FCB"/>
    <w:rsid w:val="4F020CAE"/>
    <w:rsid w:val="50636586"/>
    <w:rsid w:val="518D04CA"/>
    <w:rsid w:val="52A22EE0"/>
    <w:rsid w:val="53627019"/>
    <w:rsid w:val="55450B58"/>
    <w:rsid w:val="55930C5B"/>
    <w:rsid w:val="55A15CAD"/>
    <w:rsid w:val="562C33EA"/>
    <w:rsid w:val="598E3119"/>
    <w:rsid w:val="5A222D2D"/>
    <w:rsid w:val="5B6058EE"/>
    <w:rsid w:val="5C1D4FB4"/>
    <w:rsid w:val="5C290EA4"/>
    <w:rsid w:val="5CD0123D"/>
    <w:rsid w:val="5D8F56C9"/>
    <w:rsid w:val="5E96553C"/>
    <w:rsid w:val="5ECB2C1D"/>
    <w:rsid w:val="5F4F2FEA"/>
    <w:rsid w:val="5FB62657"/>
    <w:rsid w:val="5FC80EE5"/>
    <w:rsid w:val="650D1625"/>
    <w:rsid w:val="65871EF3"/>
    <w:rsid w:val="674863CC"/>
    <w:rsid w:val="67A75505"/>
    <w:rsid w:val="67AE7905"/>
    <w:rsid w:val="68B33AE7"/>
    <w:rsid w:val="690C6515"/>
    <w:rsid w:val="697D52E7"/>
    <w:rsid w:val="69B847D5"/>
    <w:rsid w:val="6A4B7D29"/>
    <w:rsid w:val="6B2A5A5B"/>
    <w:rsid w:val="6BD37D5E"/>
    <w:rsid w:val="6D7B4F99"/>
    <w:rsid w:val="6D837349"/>
    <w:rsid w:val="6E6A4AAC"/>
    <w:rsid w:val="6EB61C14"/>
    <w:rsid w:val="6EE778DA"/>
    <w:rsid w:val="6F353D2B"/>
    <w:rsid w:val="736C4651"/>
    <w:rsid w:val="754803C1"/>
    <w:rsid w:val="7640624B"/>
    <w:rsid w:val="76AF5792"/>
    <w:rsid w:val="78105FBD"/>
    <w:rsid w:val="79157A6A"/>
    <w:rsid w:val="7A084F9B"/>
    <w:rsid w:val="7B5F5634"/>
    <w:rsid w:val="7B8F4C4D"/>
    <w:rsid w:val="7CEB6688"/>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王涛</cp:lastModifiedBy>
  <dcterms:modified xsi:type="dcterms:W3CDTF">2021-09-23T05:52:55Z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EBA83D4D08EB49E98BBE3D28CB590960</vt:lpwstr>
  </property>
</Properties>
</file>