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SYZB-SJ-2021012</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经开区纪工委监察工委一般性谈话场所家具采购项目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常州市武进区潞城街道办事处</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十一</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15-24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25-28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30-37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友情提醒 …………………………………………………</w:t>
      </w:r>
      <w:r>
        <w:rPr>
          <w:rFonts w:hint="eastAsia" w:ascii="宋体" w:hAnsi="宋体" w:cs="宋体"/>
          <w:b/>
          <w:color w:val="auto"/>
          <w:sz w:val="30"/>
          <w:szCs w:val="30"/>
          <w:highlight w:val="none"/>
          <w:lang w:val="en-US" w:eastAsia="zh-CN"/>
        </w:rPr>
        <w:t>38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jc w:val="center"/>
        <w:rPr>
          <w:rFonts w:hint="eastAsia" w:ascii="宋体" w:hAnsi="宋体"/>
          <w:b/>
          <w:color w:val="auto"/>
          <w:sz w:val="28"/>
          <w:szCs w:val="28"/>
          <w:highlight w:val="none"/>
          <w:lang w:eastAsia="zh-CN"/>
        </w:rPr>
      </w:pPr>
      <w:bookmarkStart w:id="0" w:name="_Toc28359011"/>
      <w:bookmarkStart w:id="1" w:name="_Toc35393797"/>
      <w:bookmarkStart w:id="2" w:name="_Toc28359001"/>
      <w:bookmarkStart w:id="3" w:name="_Toc35393789"/>
      <w:r>
        <w:rPr>
          <w:rFonts w:hint="eastAsia" w:ascii="宋体" w:hAnsi="宋体"/>
          <w:b/>
          <w:color w:val="auto"/>
          <w:sz w:val="28"/>
          <w:szCs w:val="28"/>
          <w:highlight w:val="none"/>
          <w:lang w:eastAsia="zh-CN"/>
        </w:rPr>
        <w:t>经开区纪工委监察工委一般性谈话场所家具采购项目</w:t>
      </w:r>
    </w:p>
    <w:p>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798"/>
      <w:bookmarkStart w:id="5" w:name="_Toc35393629"/>
      <w:bookmarkStart w:id="6" w:name="_Toc28359012"/>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经开区纪工委监察工委一般性谈话场所家具采购项目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2021年12月2</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SYZB-SJ-2021012</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经开区纪工委监察工委一般性谈话场所家具采购项目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29.8万元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29.8万元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经开区纪工委监察工委一般性谈话场所家具采购项目</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val="en-US" w:eastAsia="zh-CN"/>
        </w:rPr>
        <w:t>货物</w:t>
      </w:r>
      <w:r>
        <w:rPr>
          <w:rFonts w:hint="eastAsia" w:cs="宋体" w:asciiTheme="minorEastAsia" w:hAnsiTheme="minorEastAsia" w:eastAsiaTheme="minorEastAsia"/>
          <w:color w:val="auto"/>
          <w:szCs w:val="21"/>
          <w:highlight w:val="none"/>
        </w:rPr>
        <w:t>的采购、运输、装卸等，直至通过采购人及其他相关部门的验收以及质量保修、免费维保等全部工作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2021年12月10号前完成交货并通过验收。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28359090"/>
      <w:bookmarkStart w:id="10" w:name="_Toc28359013"/>
      <w:bookmarkStart w:id="11" w:name="_Toc35393799"/>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2021年11月26</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35393632"/>
      <w:bookmarkStart w:id="18" w:name="_Toc35393801"/>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2021年12月2</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28359017"/>
      <w:bookmarkStart w:id="22" w:name="_Toc35393634"/>
      <w:bookmarkStart w:id="23" w:name="_Toc35393803"/>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人民币伍仟元整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到帐截止日期：2021年12月1</w:t>
      </w:r>
      <w:bookmarkStart w:id="43" w:name="_GoBack"/>
      <w:bookmarkEnd w:id="43"/>
      <w:r>
        <w:rPr>
          <w:rFonts w:hint="eastAsia" w:cs="宋体" w:asciiTheme="minorEastAsia" w:hAnsiTheme="minorEastAsia" w:eastAsiaTheme="minorEastAsia"/>
          <w:b/>
          <w:bCs/>
          <w:color w:val="auto"/>
          <w:szCs w:val="21"/>
          <w:highlight w:val="none"/>
          <w:lang w:val="en-US" w:eastAsia="zh-CN"/>
        </w:rPr>
        <w:t>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636"/>
      <w:bookmarkStart w:id="27" w:name="_Toc35393805"/>
      <w:bookmarkStart w:id="28" w:name="_Toc28359018"/>
      <w:bookmarkStart w:id="29" w:name="_Toc28359095"/>
      <w:r>
        <w:rPr>
          <w:rFonts w:hint="eastAsia" w:cs="宋体" w:asciiTheme="minorEastAsia" w:hAnsiTheme="minorEastAsia" w:eastAsiaTheme="minorEastAsia"/>
          <w:color w:val="auto"/>
          <w:szCs w:val="21"/>
          <w:highlight w:val="none"/>
          <w:lang w:eastAsia="zh-CN"/>
        </w:rPr>
        <w:t>各供应商应只安排1名代表现场</w:t>
      </w:r>
      <w:r>
        <w:rPr>
          <w:rFonts w:hint="eastAsia" w:cs="宋体" w:asciiTheme="minorEastAsia" w:hAnsiTheme="minorEastAsia" w:eastAsiaTheme="minorEastAsia"/>
          <w:color w:val="auto"/>
          <w:szCs w:val="21"/>
          <w:highlight w:val="none"/>
          <w:lang w:val="en-US" w:eastAsia="zh-CN"/>
        </w:rPr>
        <w:t>谈判</w:t>
      </w:r>
      <w:r>
        <w:rPr>
          <w:rFonts w:hint="eastAsia" w:cs="宋体" w:asciiTheme="minorEastAsia" w:hAnsiTheme="minorEastAsia" w:eastAsiaTheme="minorEastAsia"/>
          <w:color w:val="auto"/>
          <w:szCs w:val="21"/>
          <w:highlight w:val="none"/>
          <w:lang w:eastAsia="zh-CN"/>
        </w:rPr>
        <w:t>。供应商代表进入公司时须出示当日苏康码，配合测量体温，并请全程佩戴口罩，有感冒发热等症状请勿参加。进入开标室在提交响应文件过程中请有序排队，保持社交距离，并服从现场工作人员管理。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637"/>
      <w:bookmarkStart w:id="31" w:name="_Toc28359019"/>
      <w:bookmarkStart w:id="32" w:name="_Toc35393806"/>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cs="宋体" w:asciiTheme="minorEastAsia" w:hAnsiTheme="minorEastAsia" w:eastAsiaTheme="minorEastAsia"/>
          <w:color w:val="auto"/>
          <w:szCs w:val="21"/>
          <w:highlight w:val="none"/>
        </w:rPr>
      </w:pPr>
      <w:bookmarkStart w:id="34" w:name="_Toc28359020"/>
      <w:bookmarkStart w:id="35" w:name="_Toc28359097"/>
      <w:bookmarkStart w:id="36" w:name="_Toc35393638"/>
      <w:bookmarkStart w:id="37" w:name="_Toc35393807"/>
      <w:r>
        <w:rPr>
          <w:rFonts w:hint="eastAsia" w:cs="宋体" w:asciiTheme="minorEastAsia" w:hAnsiTheme="minorEastAsia" w:eastAsiaTheme="minorEastAsia"/>
          <w:color w:val="auto"/>
          <w:szCs w:val="21"/>
          <w:highlight w:val="none"/>
        </w:rPr>
        <w:t>名称：常州市武进区潞城街道办事处</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地址：常州市武进区富民路280号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联系方式：李女士、13921082218</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28359021"/>
      <w:bookmarkStart w:id="40" w:name="_Toc35393808"/>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成交供应商未能在</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文件规定的期限提交履约担保；</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9.4.3</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6法律法规认定的其他情形。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4</w:t>
      </w:r>
      <w:r>
        <w:rPr>
          <w:rFonts w:hint="eastAsia" w:ascii="宋体" w:hAnsi="宋体" w:cs="宋体"/>
          <w:b/>
          <w:color w:val="auto"/>
          <w:szCs w:val="21"/>
          <w:highlight w:val="none"/>
        </w:rPr>
        <w:t>.履约保证金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24.1成交供应商应在合同签订前向</w:t>
      </w:r>
      <w:r>
        <w:rPr>
          <w:rFonts w:hint="eastAsia" w:hAnsi="宋体" w:cs="宋体"/>
          <w:b/>
          <w:bCs/>
          <w:color w:val="auto"/>
          <w:sz w:val="21"/>
          <w:szCs w:val="21"/>
          <w:highlight w:val="none"/>
        </w:rPr>
        <w:t>采购人</w:t>
      </w:r>
      <w:r>
        <w:rPr>
          <w:rFonts w:hint="eastAsia" w:hAnsi="宋体" w:cs="宋体"/>
          <w:color w:val="auto"/>
          <w:sz w:val="21"/>
          <w:szCs w:val="21"/>
          <w:highlight w:val="none"/>
        </w:rPr>
        <w:t>提供合同总价格</w:t>
      </w:r>
      <w:r>
        <w:rPr>
          <w:rFonts w:hint="eastAsia" w:hAnsi="宋体" w:cs="宋体"/>
          <w:b/>
          <w:bCs/>
          <w:color w:val="auto"/>
          <w:sz w:val="21"/>
          <w:szCs w:val="21"/>
          <w:highlight w:val="none"/>
        </w:rPr>
        <w:t>5%</w:t>
      </w:r>
      <w:r>
        <w:rPr>
          <w:rFonts w:hint="eastAsia" w:hAnsi="宋体" w:cs="宋体"/>
          <w:color w:val="auto"/>
          <w:sz w:val="21"/>
          <w:szCs w:val="21"/>
          <w:highlight w:val="none"/>
        </w:rPr>
        <w:t>的履约保证金。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24.2履约保证金将在项目结束后（无息）退返成交供应商。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5</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lang w:val="en-US" w:eastAsia="zh-CN"/>
        </w:rPr>
        <w:t>5</w:t>
      </w:r>
      <w:r>
        <w:rPr>
          <w:rFonts w:ascii="宋体" w:hAnsi="宋体" w:cs="宋体"/>
          <w:color w:val="auto"/>
          <w:szCs w:val="21"/>
          <w:highlight w:val="none"/>
        </w:rPr>
        <w:t>.1</w:t>
      </w:r>
      <w:r>
        <w:rPr>
          <w:rFonts w:hint="eastAsia" w:ascii="宋体" w:hAnsi="宋体" w:cs="宋体"/>
          <w:color w:val="auto"/>
          <w:szCs w:val="21"/>
          <w:highlight w:val="none"/>
        </w:rPr>
        <w:t>服务费按照下列服务收费标准收取并由招标人承担付至招标代理机构收取</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保证金的帐户并备注项目编号。</w:t>
      </w:r>
      <w:r>
        <w:rPr>
          <w:rFonts w:ascii="宋体" w:hAnsi="宋体" w:cs="宋体"/>
          <w:color w:val="auto"/>
          <w:szCs w:val="21"/>
          <w:highlight w:val="none"/>
        </w:rPr>
        <mc:AlternateContent>
          <mc:Choice Requires="wps">
            <w:drawing>
              <wp:anchor distT="0" distB="0" distL="114300" distR="114300" simplePos="0" relativeHeight="251663360"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 name="任意多边形 1"/>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3120;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EwoKXYAAAACQEAAA8AAAAAAAAAAQAgAAAAIgAAAGRycy9k&#10;b3ducmV2LnhtbFBLAQIUABQAAAAIAIdO4kDgJ9G2rQIAAMQFAAAOAAAAAAAAAAEAIAAAACcBAABk&#10;cnMvZTJvRG9jLnhtbFBLBQYAAAAABgAGAFkBAABG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.2代理服务收费标准</w:t>
      </w:r>
    </w:p>
    <w:tbl>
      <w:tblPr>
        <w:tblStyle w:val="10"/>
        <w:tblW w:w="5295"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886"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2336;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d3SnjTAAAACAEAAA8AAAAAAAAAAQAgAAAAIgAAAGRycy9kb3ducmV2LnhtbFBL&#10;AQIUABQAAAAIAIdO4kCPGiHU+wEAANIDAAAOAAAAAAAAAAEAIAAAACIBAABkcnMvZTJvRG9jLnht&#10;bFBLBQYAAAAABgAGAFkBAACPBQ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0288;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 xml:space="preserve">费　　　 </w:t>
            </w:r>
            <w:r>
              <w:rPr>
                <w:rFonts w:ascii="宋体" w:hAnsi="宋体" w:cs="宋体"/>
                <w:bCs/>
                <w:color w:val="auto"/>
                <w:szCs w:val="21"/>
                <w:highlight w:val="none"/>
              </w:rPr>
              <w:t xml:space="preserve"> </w:t>
            </w:r>
            <w:r>
              <w:rPr>
                <w:rFonts w:hint="eastAsia" w:ascii="宋体" w:hAnsi="宋体" w:cs="宋体"/>
                <w:bCs/>
                <w:color w:val="auto"/>
                <w:szCs w:val="21"/>
                <w:highlight w:val="none"/>
              </w:rPr>
              <w:t>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1312;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yBlixf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成交</w:t>
            </w:r>
            <w:r>
              <w:rPr>
                <w:rFonts w:hint="eastAsia" w:ascii="宋体" w:hAnsi="宋体" w:cs="宋体"/>
                <w:bCs/>
                <w:color w:val="auto"/>
                <w:szCs w:val="21"/>
                <w:highlight w:val="none"/>
              </w:rPr>
              <w:t>金额（万元）</w:t>
            </w:r>
          </w:p>
        </w:tc>
        <w:tc>
          <w:tcPr>
            <w:tcW w:w="2409"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09"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09"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09"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09"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.2.1</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 xml:space="preserve">服务收费按差额定率累进法计算。 </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.2.2</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服务收费按上述计算方法不足人民币3000元的，按人民币3000元收取。</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.2.3评委费由</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人按实支付给招标代理机构。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6</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.1成交供应商应按成交通知书规定的时间、地点</w:t>
      </w:r>
      <w:r>
        <w:rPr>
          <w:rFonts w:hint="eastAsia" w:ascii="宋体" w:hAnsi="宋体" w:cs="宋体"/>
          <w:color w:val="auto"/>
          <w:szCs w:val="21"/>
          <w:highlight w:val="none"/>
          <w:lang w:eastAsia="zh-CN"/>
        </w:rPr>
        <w:t>，</w:t>
      </w:r>
      <w:r>
        <w:rPr>
          <w:rFonts w:hint="eastAsia" w:ascii="宋体" w:hAnsi="宋体" w:cs="宋体"/>
          <w:color w:val="auto"/>
          <w:szCs w:val="21"/>
          <w:highlight w:val="none"/>
        </w:rPr>
        <w:t>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27.</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参与采购活动的当事人应对采购文件和磋商响应文件中的商业秘密保密，违者应对由此造成的后果承担法律责任。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s="宋体"/>
          <w:color w:val="auto"/>
          <w:szCs w:val="21"/>
          <w:highlight w:val="none"/>
          <w:lang w:val="en-US" w:eastAsia="zh-CN"/>
        </w:rPr>
        <w:t>经开区纪工委监察工委一般性谈话场所家具采购项目</w:t>
      </w:r>
      <w:r>
        <w:rPr>
          <w:rFonts w:hint="eastAsia" w:ascii="宋体" w:hAnsi="宋体" w:cs="宋体"/>
          <w:color w:val="auto"/>
          <w:szCs w:val="21"/>
          <w:highlight w:val="none"/>
        </w:rPr>
        <w:t>，包括但不限于</w:t>
      </w:r>
      <w:r>
        <w:rPr>
          <w:rFonts w:hint="eastAsia" w:ascii="宋体" w:hAnsi="宋体" w:cs="宋体"/>
          <w:color w:val="auto"/>
          <w:szCs w:val="21"/>
          <w:highlight w:val="none"/>
          <w:lang w:val="en-US" w:eastAsia="zh-CN"/>
        </w:rPr>
        <w:t>货物</w:t>
      </w:r>
      <w:r>
        <w:rPr>
          <w:rFonts w:hint="eastAsia" w:ascii="宋体" w:hAnsi="宋体" w:cs="宋体"/>
          <w:color w:val="auto"/>
          <w:szCs w:val="21"/>
          <w:highlight w:val="none"/>
        </w:rPr>
        <w:t>的采购、运输、装卸等，直至通过采购人及其他相关部门的验收以及质量保修、免费维保等全部工作。</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清单及</w:t>
      </w:r>
      <w:r>
        <w:rPr>
          <w:rFonts w:hint="eastAsia" w:ascii="宋体" w:hAnsi="宋体" w:cs="宋体"/>
          <w:b/>
          <w:color w:val="auto"/>
          <w:szCs w:val="21"/>
          <w:highlight w:val="none"/>
        </w:rPr>
        <w:t>技术要求</w:t>
      </w:r>
    </w:p>
    <w:tbl>
      <w:tblPr>
        <w:tblStyle w:val="10"/>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2"/>
        <w:gridCol w:w="1270"/>
        <w:gridCol w:w="1190"/>
        <w:gridCol w:w="3570"/>
        <w:gridCol w:w="555"/>
        <w:gridCol w:w="5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产品项目</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参考图片</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规格尺寸（mm）</w:t>
            </w:r>
          </w:p>
        </w:tc>
        <w:tc>
          <w:tcPr>
            <w:tcW w:w="3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标准配置说明</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c>
          <w:tcPr>
            <w:tcW w:w="3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一楼门厅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服务台</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469900"/>
                  <wp:effectExtent l="0" t="0" r="18415" b="6350"/>
                  <wp:docPr id="45" name="图片 4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片1"/>
                          <pic:cNvPicPr>
                            <a:picLocks noChangeAspect="1"/>
                          </pic:cNvPicPr>
                        </pic:nvPicPr>
                        <pic:blipFill>
                          <a:blip r:embed="rId10"/>
                          <a:stretch>
                            <a:fillRect/>
                          </a:stretch>
                        </pic:blipFill>
                        <pic:spPr>
                          <a:xfrm>
                            <a:off x="0" y="0"/>
                            <a:ext cx="667385" cy="46990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1400*800*750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储物柜（带指纹）</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9290" cy="796290"/>
                  <wp:effectExtent l="0" t="0" r="16510" b="3810"/>
                  <wp:docPr id="46" name="图片 4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图片2"/>
                          <pic:cNvPicPr>
                            <a:picLocks noChangeAspect="1"/>
                          </pic:cNvPicPr>
                        </pic:nvPicPr>
                        <pic:blipFill>
                          <a:blip r:embed="rId11"/>
                          <a:stretch>
                            <a:fillRect/>
                          </a:stretch>
                        </pic:blipFill>
                        <pic:spPr>
                          <a:xfrm>
                            <a:off x="0" y="0"/>
                            <a:ext cx="669290" cy="79629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1800*420*2000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1.一级冷轨钢板、厚度0.8mm。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2.采用密码和指纹双识别系统，设管理员。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椅子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667385"/>
                  <wp:effectExtent l="0" t="0" r="18415" b="18415"/>
                  <wp:docPr id="47" name="图片 4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3"/>
                          <pic:cNvPicPr>
                            <a:picLocks noChangeAspect="1"/>
                          </pic:cNvPicPr>
                        </pic:nvPicPr>
                        <pic:blipFill>
                          <a:blip r:embed="rId12"/>
                          <a:stretch>
                            <a:fillRect/>
                          </a:stretch>
                        </pic:blipFill>
                        <pic:spPr>
                          <a:xfrm>
                            <a:off x="0" y="0"/>
                            <a:ext cx="667385" cy="66738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1.面料：进口网布，头枕仿皮。</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2.海绵：防火原生切割海绵。</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3.结构：重型底盘五级锁定机构。</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4级电镀气杆/铝合金脚/PU+电镀脚轮，带腰托。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洽谈圆桌</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734060"/>
                  <wp:effectExtent l="0" t="0" r="17145" b="8890"/>
                  <wp:docPr id="48" name="图片 48"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片4"/>
                          <pic:cNvPicPr>
                            <a:picLocks noChangeAspect="1"/>
                          </pic:cNvPicPr>
                        </pic:nvPicPr>
                        <pic:blipFill>
                          <a:blip r:embed="rId13"/>
                          <a:stretch>
                            <a:fillRect/>
                          </a:stretch>
                        </pic:blipFill>
                        <pic:spPr>
                          <a:xfrm>
                            <a:off x="0" y="0"/>
                            <a:ext cx="668655" cy="73406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直径600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1.优质E0级板材。</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2.2mmPVC近色封边条。</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3.不锈钢圆盘脚。</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椅子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758190"/>
                  <wp:effectExtent l="0" t="0" r="17780" b="3810"/>
                  <wp:docPr id="49" name="图片 49"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5"/>
                          <pic:cNvPicPr>
                            <a:picLocks noChangeAspect="1"/>
                          </pic:cNvPicPr>
                        </pic:nvPicPr>
                        <pic:blipFill>
                          <a:blip r:embed="rId14"/>
                          <a:stretch>
                            <a:fillRect/>
                          </a:stretch>
                        </pic:blipFill>
                        <pic:spPr>
                          <a:xfrm>
                            <a:off x="0" y="0"/>
                            <a:ext cx="668020" cy="75819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常规中背</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1.一体成型PP椅座，标配定型棉座垫。</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2.标配座底壳。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3.可选5种颜色SN布:(1094：-1黑色、-3灰色、-5橙色、-6绿色、-4红色）。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4.细砂粉喷白色2.0mm管材四脚架。</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亚克力安检隔断</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801370"/>
                  <wp:effectExtent l="0" t="0" r="17780" b="17780"/>
                  <wp:docPr id="50" name="图片 50"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片6"/>
                          <pic:cNvPicPr>
                            <a:picLocks noChangeAspect="1"/>
                          </pic:cNvPicPr>
                        </pic:nvPicPr>
                        <pic:blipFill>
                          <a:blip r:embed="rId15"/>
                          <a:stretch>
                            <a:fillRect/>
                          </a:stretch>
                        </pic:blipFill>
                        <pic:spPr>
                          <a:xfrm>
                            <a:off x="0" y="0"/>
                            <a:ext cx="668020" cy="80137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6000*1000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单层10mm全透亚克力，型材为85mm高强度铝合金。</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一楼谈话室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三角桌（全软包）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418465"/>
                  <wp:effectExtent l="0" t="0" r="17145" b="635"/>
                  <wp:docPr id="51" name="图片 5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片7"/>
                          <pic:cNvPicPr>
                            <a:picLocks noChangeAspect="1"/>
                          </pic:cNvPicPr>
                        </pic:nvPicPr>
                        <pic:blipFill>
                          <a:blip r:embed="rId16"/>
                          <a:stretch>
                            <a:fillRect/>
                          </a:stretch>
                        </pic:blipFill>
                        <pic:spPr>
                          <a:xfrm>
                            <a:off x="0" y="0"/>
                            <a:ext cx="668655" cy="41846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800*800*750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桌子1</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389890"/>
                  <wp:effectExtent l="0" t="0" r="17145" b="10160"/>
                  <wp:docPr id="52" name="图片 52"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片8"/>
                          <pic:cNvPicPr>
                            <a:picLocks noChangeAspect="1"/>
                          </pic:cNvPicPr>
                        </pic:nvPicPr>
                        <pic:blipFill>
                          <a:blip r:embed="rId17"/>
                          <a:stretch>
                            <a:fillRect/>
                          </a:stretch>
                        </pic:blipFill>
                        <pic:spPr>
                          <a:xfrm>
                            <a:off x="0" y="0"/>
                            <a:ext cx="668655" cy="38989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1800*750*750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桌子2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668655"/>
                  <wp:effectExtent l="0" t="0" r="17145" b="17145"/>
                  <wp:docPr id="53" name="图片 53"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片9"/>
                          <pic:cNvPicPr>
                            <a:picLocks noChangeAspect="1"/>
                          </pic:cNvPicPr>
                        </pic:nvPicPr>
                        <pic:blipFill>
                          <a:blip r:embed="rId18"/>
                          <a:stretch>
                            <a:fillRect/>
                          </a:stretch>
                        </pic:blipFill>
                        <pic:spPr>
                          <a:xfrm>
                            <a:off x="0" y="0"/>
                            <a:ext cx="668655" cy="66865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800*600*750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椅子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962660"/>
                  <wp:effectExtent l="0" t="0" r="18415" b="8890"/>
                  <wp:docPr id="54" name="图片 54"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片10"/>
                          <pic:cNvPicPr>
                            <a:picLocks noChangeAspect="1"/>
                          </pic:cNvPicPr>
                        </pic:nvPicPr>
                        <pic:blipFill>
                          <a:blip r:embed="rId19"/>
                          <a:stretch>
                            <a:fillRect/>
                          </a:stretch>
                        </pic:blipFill>
                        <pic:spPr>
                          <a:xfrm>
                            <a:off x="0" y="0"/>
                            <a:ext cx="667385" cy="96266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一楼医务室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医务室桌子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389890"/>
                  <wp:effectExtent l="0" t="0" r="17145" b="10160"/>
                  <wp:docPr id="55" name="图片 55"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图片11"/>
                          <pic:cNvPicPr>
                            <a:picLocks noChangeAspect="1"/>
                          </pic:cNvPicPr>
                        </pic:nvPicPr>
                        <pic:blipFill>
                          <a:blip r:embed="rId17"/>
                          <a:stretch>
                            <a:fillRect/>
                          </a:stretch>
                        </pic:blipFill>
                        <pic:spPr>
                          <a:xfrm>
                            <a:off x="0" y="0"/>
                            <a:ext cx="668655" cy="38989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1800*750*750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医用床（加软包）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534670"/>
                  <wp:effectExtent l="0" t="0" r="17780" b="17780"/>
                  <wp:docPr id="56" name="图片 56"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图片12"/>
                          <pic:cNvPicPr>
                            <a:picLocks noChangeAspect="1"/>
                          </pic:cNvPicPr>
                        </pic:nvPicPr>
                        <pic:blipFill>
                          <a:blip r:embed="rId20"/>
                          <a:stretch>
                            <a:fillRect/>
                          </a:stretch>
                        </pic:blipFill>
                        <pic:spPr>
                          <a:xfrm>
                            <a:off x="0" y="0"/>
                            <a:ext cx="668020" cy="53467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2000*960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1.床面尺寸：1980×840mm；床面高度：460—730mm；背板倾斜：0―65°；腿板倾斜：0―35°。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2.床架由碳钢金属40×80×1.2mm 管材、冷扎钢板制造，抗菌粉体喷涂。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3.配置可拆卸式ABS强化塑胶床头尾板，尾板部分留有2个专用金属固定圆钉，可以挂记录卡等资。</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椅子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962025"/>
                  <wp:effectExtent l="0" t="0" r="17145" b="9525"/>
                  <wp:docPr id="57" name="图片 57"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13"/>
                          <pic:cNvPicPr>
                            <a:picLocks noChangeAspect="1"/>
                          </pic:cNvPicPr>
                        </pic:nvPicPr>
                        <pic:blipFill>
                          <a:blip r:embed="rId21"/>
                          <a:stretch>
                            <a:fillRect/>
                          </a:stretch>
                        </pic:blipFill>
                        <pic:spPr>
                          <a:xfrm>
                            <a:off x="0" y="0"/>
                            <a:ext cx="668655" cy="96202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1.面料:进口仿皮(1.0mm厚)。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2.基材:优质进口含水率低9%以下的硬木木方及5mm的多层夹板。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储物柜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882650"/>
                  <wp:effectExtent l="0" t="0" r="17145" b="12700"/>
                  <wp:docPr id="58" name="图片 58"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片14"/>
                          <pic:cNvPicPr>
                            <a:picLocks noChangeAspect="1"/>
                          </pic:cNvPicPr>
                        </pic:nvPicPr>
                        <pic:blipFill>
                          <a:blip r:embed="rId22"/>
                          <a:stretch>
                            <a:fillRect/>
                          </a:stretch>
                        </pic:blipFill>
                        <pic:spPr>
                          <a:xfrm>
                            <a:off x="0" y="0"/>
                            <a:ext cx="668655" cy="88265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900*420*1000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食品级塑料，用于收纳常规医疗用品。外部做软包处理。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二楼会议室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大会议桌（留桌面走线线盒，桌底隐藏走线）</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255905"/>
                  <wp:effectExtent l="0" t="0" r="17145" b="10795"/>
                  <wp:docPr id="59" name="图片 59"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15"/>
                          <pic:cNvPicPr>
                            <a:picLocks noChangeAspect="1"/>
                          </pic:cNvPicPr>
                        </pic:nvPicPr>
                        <pic:blipFill>
                          <a:blip r:embed="rId23"/>
                          <a:stretch>
                            <a:fillRect/>
                          </a:stretch>
                        </pic:blipFill>
                        <pic:spPr>
                          <a:xfrm>
                            <a:off x="0" y="0"/>
                            <a:ext cx="668655" cy="25590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4000*1500*750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200" w:afterAutospacing="0"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会议椅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971550"/>
                  <wp:effectExtent l="0" t="0" r="17145" b="0"/>
                  <wp:docPr id="60" name="图片 60"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片16"/>
                          <pic:cNvPicPr>
                            <a:picLocks noChangeAspect="1"/>
                          </pic:cNvPicPr>
                        </pic:nvPicPr>
                        <pic:blipFill>
                          <a:blip r:embed="rId24"/>
                          <a:stretch>
                            <a:fillRect/>
                          </a:stretch>
                        </pic:blipFill>
                        <pic:spPr>
                          <a:xfrm>
                            <a:off x="0" y="0"/>
                            <a:ext cx="668655" cy="97155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1.面料：网布。</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2.海绵：防火原生切割海绵。</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3.结构：重型底盘五级锁定机构，4级电镀气杆/铝合金脚/PU+电镀脚轮。带腰托，可久坐。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固定椅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680720"/>
                  <wp:effectExtent l="0" t="0" r="18415" b="5080"/>
                  <wp:docPr id="61" name="图片 61" descr="图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片17"/>
                          <pic:cNvPicPr>
                            <a:picLocks noChangeAspect="1"/>
                          </pic:cNvPicPr>
                        </pic:nvPicPr>
                        <pic:blipFill>
                          <a:blip r:embed="rId25"/>
                          <a:stretch>
                            <a:fillRect/>
                          </a:stretch>
                        </pic:blipFill>
                        <pic:spPr>
                          <a:xfrm>
                            <a:off x="0" y="0"/>
                            <a:ext cx="667385" cy="68072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常规</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1.面料：网布。</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2.海绵：防火原生切割海绵。</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3.结构：固定脚。</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茶水柜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538480"/>
                  <wp:effectExtent l="0" t="0" r="18415" b="13970"/>
                  <wp:docPr id="62" name="图片 62"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片18"/>
                          <pic:cNvPicPr>
                            <a:picLocks noChangeAspect="1"/>
                          </pic:cNvPicPr>
                        </pic:nvPicPr>
                        <pic:blipFill>
                          <a:blip r:embed="rId26"/>
                          <a:stretch>
                            <a:fillRect/>
                          </a:stretch>
                        </pic:blipFill>
                        <pic:spPr>
                          <a:xfrm>
                            <a:off x="0" y="0"/>
                            <a:ext cx="667385" cy="53848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1200*400*800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200" w:afterAutospacing="0"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定制保管箱</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1214120"/>
                  <wp:effectExtent l="0" t="0" r="17780" b="5080"/>
                  <wp:docPr id="63" name="图片 63"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片19"/>
                          <pic:cNvPicPr>
                            <a:picLocks noChangeAspect="1"/>
                          </pic:cNvPicPr>
                        </pic:nvPicPr>
                        <pic:blipFill>
                          <a:blip r:embed="rId27"/>
                          <a:stretch>
                            <a:fillRect/>
                          </a:stretch>
                        </pic:blipFill>
                        <pic:spPr>
                          <a:xfrm>
                            <a:off x="0" y="0"/>
                            <a:ext cx="668020" cy="121412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800*450*2000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1.一级冷轨钢板、厚度0.8 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2.采用密码和指纹双识别系统，设管理员。 </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矮柜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582295"/>
                  <wp:effectExtent l="0" t="0" r="17780" b="8255"/>
                  <wp:docPr id="64" name="图片 64" descr="图片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20"/>
                          <pic:cNvPicPr>
                            <a:picLocks noChangeAspect="1"/>
                          </pic:cNvPicPr>
                        </pic:nvPicPr>
                        <pic:blipFill>
                          <a:blip r:embed="rId28"/>
                          <a:stretch>
                            <a:fillRect/>
                          </a:stretch>
                        </pic:blipFill>
                        <pic:spPr>
                          <a:xfrm>
                            <a:off x="0" y="0"/>
                            <a:ext cx="668020" cy="58229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800*400*850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200" w:afterAutospacing="0"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 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二楼监控室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桌子</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544830"/>
                  <wp:effectExtent l="0" t="0" r="17145" b="7620"/>
                  <wp:docPr id="65" name="图片 65"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图片21"/>
                          <pic:cNvPicPr>
                            <a:picLocks noChangeAspect="1"/>
                          </pic:cNvPicPr>
                        </pic:nvPicPr>
                        <pic:blipFill>
                          <a:blip r:embed="rId29"/>
                          <a:stretch>
                            <a:fillRect/>
                          </a:stretch>
                        </pic:blipFill>
                        <pic:spPr>
                          <a:xfrm>
                            <a:off x="0" y="0"/>
                            <a:ext cx="668655" cy="54483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1200*600*750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200" w:afterAutospacing="0"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 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人体工学椅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869315"/>
                  <wp:effectExtent l="0" t="0" r="17780" b="6985"/>
                  <wp:docPr id="66" name="图片 66" descr="图片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图片22"/>
                          <pic:cNvPicPr>
                            <a:picLocks noChangeAspect="1"/>
                          </pic:cNvPicPr>
                        </pic:nvPicPr>
                        <pic:blipFill>
                          <a:blip r:embed="rId30"/>
                          <a:stretch>
                            <a:fillRect/>
                          </a:stretch>
                        </pic:blipFill>
                        <pic:spPr>
                          <a:xfrm>
                            <a:off x="0" y="0"/>
                            <a:ext cx="668020" cy="86931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1.面料：网布。</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2.海绵：防火原生切割海绵。</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3.结构：重型底盘五级锁定机构，4级电镀气杆/铝合金脚/PU+电镀脚轮，带腰托。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三楼休息室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软包床</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554990"/>
                  <wp:effectExtent l="0" t="0" r="17780" b="16510"/>
                  <wp:docPr id="67" name="图片 67" descr="图片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图片23"/>
                          <pic:cNvPicPr>
                            <a:picLocks noChangeAspect="1"/>
                          </pic:cNvPicPr>
                        </pic:nvPicPr>
                        <pic:blipFill>
                          <a:blip r:embed="rId31"/>
                          <a:stretch>
                            <a:fillRect/>
                          </a:stretch>
                        </pic:blipFill>
                        <pic:spPr>
                          <a:xfrm>
                            <a:off x="0" y="0"/>
                            <a:ext cx="668020" cy="55499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1200*2000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1.贴面板材：可弯曲防火板，厚度为0.8mm，常规品种胡桃色。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3.面料：仿皮。</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4.海绵：防火原生切割海绵。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床头柜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703580"/>
                  <wp:effectExtent l="0" t="0" r="17780" b="1270"/>
                  <wp:docPr id="68" name="图片 68" descr="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片24"/>
                          <pic:cNvPicPr>
                            <a:picLocks noChangeAspect="1"/>
                          </pic:cNvPicPr>
                        </pic:nvPicPr>
                        <pic:blipFill>
                          <a:blip r:embed="rId32"/>
                          <a:stretch>
                            <a:fillRect/>
                          </a:stretch>
                        </pic:blipFill>
                        <pic:spPr>
                          <a:xfrm>
                            <a:off x="0" y="0"/>
                            <a:ext cx="668020" cy="70358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600*450*500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1.面料:仿皮(1.0mm厚)。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2.基材:含水率低9%以下的硬木木方及5mm的多层夹板。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3.辅料:PU成型发泡高密度海绵。</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接待椅（软塑料加软垫）</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950595"/>
                  <wp:effectExtent l="0" t="0" r="17780" b="1905"/>
                  <wp:docPr id="69" name="图片 69" descr="图片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图片25"/>
                          <pic:cNvPicPr>
                            <a:picLocks noChangeAspect="1"/>
                          </pic:cNvPicPr>
                        </pic:nvPicPr>
                        <pic:blipFill>
                          <a:blip r:embed="rId33"/>
                          <a:stretch>
                            <a:fillRect/>
                          </a:stretch>
                        </pic:blipFill>
                        <pic:spPr>
                          <a:xfrm>
                            <a:off x="0" y="0"/>
                            <a:ext cx="668020" cy="95059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常规</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1.海绵：国标优等品质海绵；表观密度40～55Kg/m3，测试75%压缩永久变形量≤3%。</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2座面：织物材料，可处理成3M防污；铁氟龙防泼、防尘；抗静电、防菌、防霉变。</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3.被板：P衬板三层结构组成。</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4.架子：实心钢管。</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折叠桌</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438150"/>
                  <wp:effectExtent l="0" t="0" r="17780" b="0"/>
                  <wp:docPr id="70" name="图片 70" descr="图片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26"/>
                          <pic:cNvPicPr>
                            <a:picLocks noChangeAspect="1"/>
                          </pic:cNvPicPr>
                        </pic:nvPicPr>
                        <pic:blipFill>
                          <a:blip r:embed="rId34"/>
                          <a:stretch>
                            <a:fillRect/>
                          </a:stretch>
                        </pic:blipFill>
                        <pic:spPr>
                          <a:xfrm>
                            <a:off x="0" y="0"/>
                            <a:ext cx="668020" cy="43815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800*500*25</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 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（1）可按色板选择不同的色彩、纹路（山纹）；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6.钢架喷塑处理，可折叠，承重40kg</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办公桌</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728980"/>
                  <wp:effectExtent l="0" t="0" r="17145" b="13970"/>
                  <wp:docPr id="71" name="图片 71" descr="图片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片27"/>
                          <pic:cNvPicPr>
                            <a:picLocks noChangeAspect="1"/>
                          </pic:cNvPicPr>
                        </pic:nvPicPr>
                        <pic:blipFill>
                          <a:blip r:embed="rId35"/>
                          <a:stretch>
                            <a:fillRect/>
                          </a:stretch>
                        </pic:blipFill>
                        <pic:spPr>
                          <a:xfrm>
                            <a:off x="0" y="0"/>
                            <a:ext cx="668655" cy="72898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1200*600*750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1.贴面板材：可弯曲防火板，厚度为0.8mm，颜色可选。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 度≥51.2Mpa，吸水膨胀率≤8.1%。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6.钢架喷塑处理。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衣柜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7385" cy="704850"/>
                  <wp:effectExtent l="0" t="0" r="18415" b="0"/>
                  <wp:docPr id="72" name="图片 72" descr="图片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片28"/>
                          <pic:cNvPicPr>
                            <a:picLocks noChangeAspect="1"/>
                          </pic:cNvPicPr>
                        </pic:nvPicPr>
                        <pic:blipFill>
                          <a:blip r:embed="rId36"/>
                          <a:stretch>
                            <a:fillRect/>
                          </a:stretch>
                        </pic:blipFill>
                        <pic:spPr>
                          <a:xfrm>
                            <a:off x="0" y="0"/>
                            <a:ext cx="667385" cy="70485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1500*600*2400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1.E0级多层实木板材、PVC近色封边条，四开门。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2.背板加厚18mm、安全牢固。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3.静音阻尼铰链。</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三楼会议室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会议桌</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377825"/>
                  <wp:effectExtent l="0" t="0" r="17145" b="3175"/>
                  <wp:docPr id="73" name="图片 73" descr="图片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图片29"/>
                          <pic:cNvPicPr>
                            <a:picLocks noChangeAspect="1"/>
                          </pic:cNvPicPr>
                        </pic:nvPicPr>
                        <pic:blipFill>
                          <a:blip r:embed="rId37"/>
                          <a:stretch>
                            <a:fillRect/>
                          </a:stretch>
                        </pic:blipFill>
                        <pic:spPr>
                          <a:xfrm>
                            <a:off x="0" y="0"/>
                            <a:ext cx="668655" cy="37782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2200*1400*750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1.贴面板材：可弯曲防火板，厚度为0.8mm。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2.基材：中纤板，甲醛含量≤1.0mg/L，密度≥760kg/m3，静曲张度≥51.2Mpa，吸水膨胀率≤8.1%，厚度2.5。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3.粘合剂：乳胶。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4.封边用材：2mm厚PVC胶边，进口热熔胶。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5.功能特点：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（1）可按色板选择不同的色彩、纹路；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（2）按不同的用途选择不同的厚度；</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（3）具有防水、防烫、防污、防酸、防碱、防火。</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6.榉木桌腿。</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会议椅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925195"/>
                  <wp:effectExtent l="0" t="0" r="17145" b="8255"/>
                  <wp:docPr id="74" name="图片 74" descr="图片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片30"/>
                          <pic:cNvPicPr>
                            <a:picLocks noChangeAspect="1"/>
                          </pic:cNvPicPr>
                        </pic:nvPicPr>
                        <pic:blipFill>
                          <a:blip r:embed="rId38"/>
                          <a:stretch>
                            <a:fillRect/>
                          </a:stretch>
                        </pic:blipFill>
                        <pic:spPr>
                          <a:xfrm>
                            <a:off x="0" y="0"/>
                            <a:ext cx="668655" cy="92519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1.面料：网布。</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2.海绵：防火原生切割海绵。</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3.结构：重型底盘五级锁定机构，4级电镀气杆/铝合金脚/PU+电镀脚轮。带腰托，可久坐。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单人床</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506095"/>
                  <wp:effectExtent l="0" t="0" r="17145" b="8255"/>
                  <wp:docPr id="75" name="图片 75" descr="图片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图片31"/>
                          <pic:cNvPicPr>
                            <a:picLocks noChangeAspect="1"/>
                          </pic:cNvPicPr>
                        </pic:nvPicPr>
                        <pic:blipFill>
                          <a:blip r:embed="rId39"/>
                          <a:stretch>
                            <a:fillRect/>
                          </a:stretch>
                        </pic:blipFill>
                        <pic:spPr>
                          <a:xfrm>
                            <a:off x="0" y="0"/>
                            <a:ext cx="668655" cy="50609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1200*2000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1.台面：松木，厚度5cm，含水率小于12%。</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2.油漆：有害物质释放量符合GB18580标准，流平性、附着力、透明度好，硬度高、耐磨性好，五底三面。</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8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四楼会议室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餐桌</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510540"/>
                  <wp:effectExtent l="0" t="0" r="17780" b="3810"/>
                  <wp:docPr id="77" name="图片 77" descr="图片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32"/>
                          <pic:cNvPicPr>
                            <a:picLocks noChangeAspect="1"/>
                          </pic:cNvPicPr>
                        </pic:nvPicPr>
                        <pic:blipFill>
                          <a:blip r:embed="rId40"/>
                          <a:stretch>
                            <a:fillRect/>
                          </a:stretch>
                        </pic:blipFill>
                        <pic:spPr>
                          <a:xfrm>
                            <a:off x="0" y="0"/>
                            <a:ext cx="668020" cy="51054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5200*1000*750</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1.台面：松木，厚度5cm，含水率小于12%。</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2.钢架：优质3*6方管，喷塑处理。</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3.油漆：有害物质释放量符合GB18580标准，流平性、附着力、透明度好，硬度高、耐磨性好，五底三面。</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餐椅</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655" cy="798195"/>
                  <wp:effectExtent l="0" t="0" r="17145" b="1905"/>
                  <wp:docPr id="78" name="图片 78" descr="图片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片33"/>
                          <pic:cNvPicPr>
                            <a:picLocks noChangeAspect="1"/>
                          </pic:cNvPicPr>
                        </pic:nvPicPr>
                        <pic:blipFill>
                          <a:blip r:embed="rId41"/>
                          <a:stretch>
                            <a:fillRect/>
                          </a:stretch>
                        </pic:blipFill>
                        <pic:spPr>
                          <a:xfrm>
                            <a:off x="0" y="0"/>
                            <a:ext cx="668655" cy="798195"/>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1.框架：白蜡木，含水率小于12%，。</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2.海绵：高密度一体成型PU泡棉(模具成型)，密度：底座部位≥45kg/m3，其它部位≥35kg/m3。</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3.皮料：优质，耐磨性好，透气性强。</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4.油漆：有害物质释放量符合GB18580标准，流平性、附着力、透明度好，硬度高、耐磨性好，五底三面。</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橱柜</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drawing>
                <wp:inline distT="0" distB="0" distL="114300" distR="114300">
                  <wp:extent cx="668020" cy="668020"/>
                  <wp:effectExtent l="0" t="0" r="17780" b="17780"/>
                  <wp:docPr id="79" name="图片 79" descr="图片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片34"/>
                          <pic:cNvPicPr>
                            <a:picLocks noChangeAspect="1"/>
                          </pic:cNvPicPr>
                        </pic:nvPicPr>
                        <pic:blipFill>
                          <a:blip r:embed="rId42"/>
                          <a:stretch>
                            <a:fillRect/>
                          </a:stretch>
                        </pic:blipFill>
                        <pic:spPr>
                          <a:xfrm>
                            <a:off x="0" y="0"/>
                            <a:ext cx="668020" cy="668020"/>
                          </a:xfrm>
                          <a:prstGeom prst="rect">
                            <a:avLst/>
                          </a:prstGeom>
                        </pic:spPr>
                      </pic:pic>
                    </a:graphicData>
                  </a:graphic>
                </wp:inline>
              </w:drawing>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地柜：10.32米，吊柜6米，深度600，其余常规做法</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1.优质E0级多层实木板材、PVC近色封边条。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2.背板加厚18mm、安全牢固。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3.静音阻尼铰链、拉篮。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4.爵士白人造石英石。</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三、报价方式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本项目</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报价为</w:t>
      </w:r>
      <w:r>
        <w:rPr>
          <w:rFonts w:hint="eastAsia" w:ascii="宋体" w:hAnsi="宋体" w:cs="宋体"/>
          <w:b/>
          <w:bCs/>
          <w:color w:val="auto"/>
          <w:szCs w:val="21"/>
          <w:highlight w:val="none"/>
          <w:u w:val="none"/>
        </w:rPr>
        <w:t>固定单价</w:t>
      </w:r>
      <w:r>
        <w:rPr>
          <w:rFonts w:hint="eastAsia" w:ascii="宋体" w:hAnsi="宋体" w:cs="宋体"/>
          <w:b w:val="0"/>
          <w:bCs w:val="0"/>
          <w:color w:val="auto"/>
          <w:szCs w:val="21"/>
          <w:highlight w:val="none"/>
          <w:u w:val="none"/>
        </w:rPr>
        <w:t>，</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总价应包括</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文件所确定的采购范围相应货物和</w:t>
      </w:r>
      <w:r>
        <w:rPr>
          <w:rFonts w:ascii="宋体" w:hAnsi="宋体" w:cs="宋体"/>
          <w:b w:val="0"/>
          <w:bCs w:val="0"/>
          <w:color w:val="auto"/>
          <w:szCs w:val="21"/>
          <w:highlight w:val="none"/>
          <w:u w:val="none"/>
        </w:rPr>
        <w:t>服务</w:t>
      </w:r>
      <w:r>
        <w:rPr>
          <w:rFonts w:hint="eastAsia" w:ascii="宋体" w:hAnsi="宋体" w:cs="宋体"/>
          <w:b w:val="0"/>
          <w:bCs w:val="0"/>
          <w:color w:val="auto"/>
          <w:szCs w:val="21"/>
          <w:highlight w:val="none"/>
          <w:u w:val="none"/>
        </w:rPr>
        <w:t>的供货、包装、运输、保险、管理、维护</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劳务、培训、验收</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报价货币为人民币，评审时以人民币为准。</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四、交货期及交货地点</w:t>
      </w:r>
    </w:p>
    <w:p>
      <w:pPr>
        <w:spacing w:line="360" w:lineRule="exact"/>
        <w:ind w:right="21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1.交货期：</w:t>
      </w:r>
      <w:r>
        <w:rPr>
          <w:rFonts w:hint="eastAsia" w:cs="宋体" w:asciiTheme="minorEastAsia" w:hAnsiTheme="minorEastAsia" w:eastAsiaTheme="minorEastAsia"/>
          <w:color w:val="auto"/>
          <w:szCs w:val="21"/>
          <w:highlight w:val="none"/>
          <w:lang w:val="en-US" w:eastAsia="zh-CN"/>
        </w:rPr>
        <w:t>2021年12月10号前完成交货并通过验收</w:t>
      </w:r>
      <w:r>
        <w:rPr>
          <w:rFonts w:hint="eastAsia" w:ascii="宋体" w:hAnsi="宋体" w:cs="宋体"/>
          <w:bCs/>
          <w:color w:val="auto"/>
          <w:szCs w:val="21"/>
          <w:highlight w:val="none"/>
        </w:rPr>
        <w:t>。</w:t>
      </w:r>
    </w:p>
    <w:p>
      <w:pPr>
        <w:spacing w:line="360" w:lineRule="exact"/>
        <w:ind w:right="210" w:firstLine="420" w:firstLineChars="200"/>
        <w:jc w:val="left"/>
        <w:rPr>
          <w:rFonts w:hint="eastAsia" w:ascii="宋体" w:hAnsi="宋体" w:cs="宋体"/>
          <w:b w:val="0"/>
          <w:bCs w:val="0"/>
          <w:color w:val="auto"/>
          <w:szCs w:val="21"/>
          <w:highlight w:val="none"/>
          <w:u w:val="none"/>
        </w:rPr>
      </w:pPr>
      <w:r>
        <w:rPr>
          <w:rFonts w:hint="eastAsia" w:ascii="宋体" w:hAnsi="宋体" w:cs="宋体"/>
          <w:bCs/>
          <w:color w:val="auto"/>
          <w:szCs w:val="21"/>
          <w:highlight w:val="none"/>
        </w:rPr>
        <w:t>2.交货地点：</w:t>
      </w:r>
      <w:r>
        <w:rPr>
          <w:rFonts w:hint="eastAsia" w:ascii="宋体" w:hAnsi="宋体"/>
          <w:bCs/>
          <w:color w:val="auto"/>
          <w:szCs w:val="21"/>
          <w:highlight w:val="none"/>
          <w:lang w:eastAsia="zh-CN"/>
        </w:rPr>
        <w:t>采购人</w:t>
      </w:r>
      <w:r>
        <w:rPr>
          <w:rFonts w:hint="eastAsia" w:ascii="宋体" w:hAnsi="宋体"/>
          <w:bCs/>
          <w:color w:val="auto"/>
          <w:szCs w:val="21"/>
          <w:highlight w:val="none"/>
        </w:rPr>
        <w:t>指定地点</w:t>
      </w:r>
      <w:r>
        <w:rPr>
          <w:rFonts w:hint="eastAsia" w:ascii="宋体" w:hAnsi="宋体" w:cs="宋体"/>
          <w:bCs/>
          <w:color w:val="auto"/>
          <w:szCs w:val="21"/>
          <w:highlight w:val="none"/>
        </w:rPr>
        <w:t>。货物现场交付，</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检验无误，签署收货通知单后，货物所有权转移给</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五、验收标准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1.产品必须是全新、未使用过的原装合格正品，完全符合</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文件规定的质量、规格和性能的要求，达到国家或行业规定的标准。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2.</w:t>
      </w:r>
      <w:r>
        <w:rPr>
          <w:rFonts w:hint="eastAsia" w:ascii="宋体" w:hAnsi="宋体" w:cs="宋体"/>
          <w:b w:val="0"/>
          <w:bCs w:val="0"/>
          <w:color w:val="auto"/>
          <w:szCs w:val="21"/>
          <w:highlight w:val="none"/>
          <w:u w:val="none"/>
          <w:lang w:eastAsia="zh-CN"/>
        </w:rPr>
        <w:t>供应商</w:t>
      </w:r>
      <w:r>
        <w:rPr>
          <w:rFonts w:hint="eastAsia" w:ascii="宋体" w:hAnsi="宋体" w:cs="宋体"/>
          <w:b w:val="0"/>
          <w:bCs w:val="0"/>
          <w:color w:val="auto"/>
          <w:szCs w:val="21"/>
          <w:highlight w:val="none"/>
          <w:u w:val="none"/>
        </w:rPr>
        <w:t>提供的产品必须能够满足规范及</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文件的要求，同时还必须满足使用要求；产品必须能通过</w:t>
      </w:r>
      <w:r>
        <w:rPr>
          <w:rFonts w:hint="eastAsia" w:ascii="宋体" w:hAnsi="宋体" w:cs="宋体"/>
          <w:b w:val="0"/>
          <w:bCs w:val="0"/>
          <w:color w:val="auto"/>
          <w:szCs w:val="21"/>
          <w:highlight w:val="none"/>
          <w:u w:val="none"/>
          <w:lang w:eastAsia="zh-CN"/>
        </w:rPr>
        <w:t>采购人</w:t>
      </w:r>
      <w:r>
        <w:rPr>
          <w:rFonts w:hint="eastAsia" w:ascii="宋体" w:hAnsi="宋体" w:cs="宋体"/>
          <w:b w:val="0"/>
          <w:bCs w:val="0"/>
          <w:color w:val="auto"/>
          <w:szCs w:val="21"/>
          <w:highlight w:val="none"/>
          <w:u w:val="none"/>
        </w:rPr>
        <w:t>的质量验收等各类验收。</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六、质保期及售后服务</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1.质保期：本项目产品的免费质保期为</w:t>
      </w:r>
      <w:r>
        <w:rPr>
          <w:rFonts w:hint="eastAsia" w:asciiTheme="minorEastAsia" w:hAnsiTheme="minorEastAsia" w:eastAsiaTheme="minorEastAsia"/>
          <w:color w:val="auto"/>
          <w:spacing w:val="2"/>
          <w:szCs w:val="21"/>
          <w:highlight w:val="none"/>
          <w:lang w:val="en-US" w:eastAsia="zh-CN"/>
        </w:rPr>
        <w:t>壹</w:t>
      </w:r>
      <w:r>
        <w:rPr>
          <w:rFonts w:hint="eastAsia" w:asciiTheme="minorEastAsia" w:hAnsiTheme="minorEastAsia" w:eastAsiaTheme="minorEastAsia"/>
          <w:color w:val="auto"/>
          <w:spacing w:val="2"/>
          <w:szCs w:val="21"/>
          <w:highlight w:val="none"/>
        </w:rPr>
        <w:t>年。</w:t>
      </w:r>
    </w:p>
    <w:p>
      <w:pPr>
        <w:snapToGrid w:val="0"/>
        <w:spacing w:line="360" w:lineRule="exact"/>
        <w:ind w:firstLine="428" w:firstLineChars="200"/>
        <w:rPr>
          <w:rFonts w:hint="eastAsia" w:ascii="宋体" w:hAnsi="宋体" w:cs="宋体"/>
          <w:b w:val="0"/>
          <w:bCs w:val="0"/>
          <w:color w:val="auto"/>
          <w:szCs w:val="21"/>
          <w:highlight w:val="none"/>
          <w:u w:val="none"/>
        </w:rPr>
      </w:pPr>
      <w:r>
        <w:rPr>
          <w:rFonts w:hint="eastAsia" w:asciiTheme="minorEastAsia" w:hAnsiTheme="minorEastAsia" w:eastAsiaTheme="minorEastAsia"/>
          <w:color w:val="auto"/>
          <w:spacing w:val="2"/>
          <w:szCs w:val="21"/>
          <w:highlight w:val="none"/>
          <w:lang w:val="en-US" w:eastAsia="zh-CN"/>
        </w:rPr>
        <w:t>2</w:t>
      </w:r>
      <w:r>
        <w:rPr>
          <w:rFonts w:hint="eastAsia" w:asciiTheme="minorEastAsia" w:hAnsiTheme="minorEastAsia" w:eastAsiaTheme="minorEastAsia"/>
          <w:color w:val="auto"/>
          <w:spacing w:val="2"/>
          <w:szCs w:val="21"/>
          <w:highlight w:val="none"/>
        </w:rPr>
        <w:t>.修复时间（质保期内）：若出现问题2小时内到达现场解决。</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ascii="宋体" w:hAnsi="宋体" w:cs="宋体"/>
          <w:b/>
          <w:bCs/>
          <w:color w:val="auto"/>
          <w:szCs w:val="21"/>
          <w:highlight w:val="none"/>
          <w:u w:val="none"/>
        </w:rPr>
      </w:pPr>
      <w:r>
        <w:rPr>
          <w:rFonts w:hint="eastAsia" w:ascii="宋体" w:hAnsi="宋体" w:cs="宋体"/>
          <w:b/>
          <w:bCs/>
          <w:color w:val="auto"/>
          <w:szCs w:val="21"/>
          <w:highlight w:val="none"/>
          <w:u w:val="none"/>
          <w:lang w:eastAsia="zh-CN"/>
        </w:rPr>
        <w:t>七、</w:t>
      </w:r>
      <w:r>
        <w:rPr>
          <w:rFonts w:ascii="宋体" w:hAnsi="宋体" w:cs="宋体"/>
          <w:b/>
          <w:bCs/>
          <w:color w:val="auto"/>
          <w:szCs w:val="21"/>
          <w:highlight w:val="none"/>
          <w:u w:val="none"/>
        </w:rPr>
        <w:t>付款方式</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ascii="宋体" w:hAnsi="宋体"/>
          <w:color w:val="auto"/>
          <w:spacing w:val="2"/>
          <w:highlight w:val="none"/>
        </w:rPr>
        <w:t>合同签订后支付合同价的30%，项目完成验收合格并经审计后付至审定价的97%，余款</w:t>
      </w:r>
      <w:r>
        <w:rPr>
          <w:rFonts w:hint="eastAsia" w:ascii="宋体" w:hAnsi="宋体"/>
          <w:color w:val="auto"/>
          <w:spacing w:val="2"/>
          <w:highlight w:val="none"/>
        </w:rPr>
        <w:t>一</w:t>
      </w:r>
      <w:r>
        <w:rPr>
          <w:rFonts w:ascii="宋体" w:hAnsi="宋体"/>
          <w:color w:val="auto"/>
          <w:spacing w:val="2"/>
          <w:highlight w:val="none"/>
        </w:rPr>
        <w:t>年后一次性付清（无息）。</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pPr>
    </w:p>
    <w:p>
      <w:pPr>
        <w:snapToGrid w:val="0"/>
        <w:spacing w:line="360" w:lineRule="exact"/>
        <w:ind w:firstLine="428" w:firstLineChars="200"/>
        <w:rPr>
          <w:rFonts w:hint="eastAsia" w:asciiTheme="minorEastAsia" w:hAnsiTheme="minorEastAsia" w:eastAsiaTheme="minorEastAsia"/>
          <w:color w:val="auto"/>
          <w:spacing w:val="2"/>
          <w:szCs w:val="21"/>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甲乙双方依据《中华人民共和国民法典》以及有关法律、法规的规定，经协商一致，订立本合同，以便共同遵守。</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0" w:firstLineChars="200"/>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2" w:firstLineChars="200"/>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设计、制造、包装、仓储、运输装缷、保险及其材料及验收合格之前保管及保修期内备品备件、专用工具、伴随服务、技术图纸资料、人员培训发生的所有含税费用、支付给员工的工资和国家强制缴纳的各种社会保障资金，以及</w:t>
      </w:r>
      <w:r>
        <w:rPr>
          <w:rFonts w:hint="eastAsia" w:cs="宋体" w:asciiTheme="minorEastAsia" w:hAnsiTheme="minorEastAsia"/>
          <w:color w:val="auto"/>
          <w:sz w:val="21"/>
          <w:szCs w:val="21"/>
          <w:highlight w:val="none"/>
          <w:lang w:eastAsia="zh-CN"/>
        </w:rPr>
        <w:t>供应商</w:t>
      </w:r>
      <w:r>
        <w:rPr>
          <w:rFonts w:hint="eastAsia" w:cs="宋体" w:asciiTheme="minorEastAsia" w:hAnsiTheme="minorEastAsia"/>
          <w:color w:val="auto"/>
          <w:sz w:val="21"/>
          <w:szCs w:val="21"/>
          <w:highlight w:val="none"/>
        </w:rPr>
        <w:t>认为需要的其他费用等。</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2" w:firstLineChars="200"/>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竞争性谈判文件</w:t>
      </w:r>
      <w:r>
        <w:rPr>
          <w:rFonts w:hint="eastAsia" w:cs="宋体" w:asciiTheme="minorEastAsia" w:hAnsiTheme="minorEastAsia"/>
          <w:color w:val="auto"/>
          <w:sz w:val="21"/>
          <w:szCs w:val="21"/>
          <w:highlight w:val="none"/>
        </w:rPr>
        <w:t>（编号：   ）           （2）乙方提供的</w:t>
      </w:r>
      <w:r>
        <w:rPr>
          <w:rFonts w:hint="eastAsia" w:cs="宋体" w:asciiTheme="minorEastAsia" w:hAnsiTheme="minorEastAsia"/>
          <w:color w:val="auto"/>
          <w:sz w:val="21"/>
          <w:szCs w:val="21"/>
          <w:highlight w:val="none"/>
          <w:lang w:eastAsia="zh-CN"/>
        </w:rPr>
        <w:t>谈判响应文件</w:t>
      </w:r>
      <w:r>
        <w:rPr>
          <w:rFonts w:hint="eastAsia" w:cs="宋体" w:asciiTheme="minorEastAsia" w:hAnsiTheme="minorEastAsia"/>
          <w:color w:val="auto"/>
          <w:sz w:val="21"/>
          <w:szCs w:val="21"/>
          <w:highlight w:val="none"/>
        </w:rPr>
        <w:t xml:space="preserve">； </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w:t>
      </w:r>
      <w:r>
        <w:rPr>
          <w:rFonts w:hint="eastAsia" w:cs="宋体" w:asciiTheme="minorEastAsia" w:hAnsiTheme="minorEastAsia"/>
          <w:color w:val="auto"/>
          <w:sz w:val="21"/>
          <w:szCs w:val="21"/>
          <w:highlight w:val="none"/>
          <w:lang w:eastAsia="zh-CN"/>
        </w:rPr>
        <w:t>成交</w:t>
      </w:r>
      <w:r>
        <w:rPr>
          <w:rFonts w:hint="eastAsia" w:cs="宋体" w:asciiTheme="minorEastAsia" w:hAnsiTheme="minorEastAsia"/>
          <w:color w:val="auto"/>
          <w:sz w:val="21"/>
          <w:szCs w:val="21"/>
          <w:highlight w:val="none"/>
        </w:rPr>
        <w:t xml:space="preserve">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w:t>
      </w:r>
      <w:r>
        <w:rPr>
          <w:rFonts w:hint="eastAsia" w:asciiTheme="minorEastAsia" w:hAnsiTheme="minorEastAsia" w:eastAsiaTheme="minorEastAsia"/>
          <w:color w:val="auto"/>
          <w:szCs w:val="21"/>
          <w:highlight w:val="none"/>
          <w:lang w:eastAsia="zh-CN"/>
        </w:rPr>
        <w:t>竞争性谈判文件</w:t>
      </w:r>
      <w:r>
        <w:rPr>
          <w:rFonts w:hint="eastAsia" w:asciiTheme="minorEastAsia" w:hAnsiTheme="minorEastAsia" w:eastAsiaTheme="minorEastAsia"/>
          <w:color w:val="auto"/>
          <w:szCs w:val="21"/>
          <w:highlight w:val="none"/>
        </w:rPr>
        <w:t>规定的技术规格及所附的“技术规格响应表”相一致；若技术性能无特殊说明，则按国家有关部门最新颁布的标准及规范为准。</w:t>
      </w:r>
    </w:p>
    <w:p>
      <w:pPr>
        <w:pStyle w:val="6"/>
        <w:spacing w:line="360" w:lineRule="exact"/>
        <w:ind w:firstLine="420" w:firstLineChars="200"/>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0"/>
        <w:snapToGrid w:val="0"/>
        <w:spacing w:line="36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天内将货物安装完毕交付甲方正常使用，地点由甲方指定。</w:t>
      </w:r>
      <w:r>
        <w:rPr>
          <w:rFonts w:hint="eastAsia" w:asciiTheme="minorEastAsia" w:hAnsiTheme="minorEastAsia" w:eastAsiaTheme="minorEastAsia"/>
          <w:color w:val="auto"/>
          <w:szCs w:val="21"/>
          <w:highlight w:val="none"/>
          <w:lang w:eastAsia="zh-CN"/>
        </w:rPr>
        <w:t>竞争性谈判文件</w:t>
      </w:r>
      <w:r>
        <w:rPr>
          <w:rFonts w:hint="eastAsia" w:asciiTheme="minorEastAsia" w:hAnsiTheme="minorEastAsia" w:eastAsiaTheme="minorEastAsia"/>
          <w:color w:val="auto"/>
          <w:szCs w:val="21"/>
          <w:highlight w:val="none"/>
        </w:rPr>
        <w:t>有约定的，从其约定。</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w:t>
      </w:r>
      <w:r>
        <w:rPr>
          <w:rFonts w:hint="eastAsia" w:asciiTheme="minorEastAsia" w:hAnsiTheme="minorEastAsia" w:eastAsiaTheme="minorEastAsia"/>
          <w:color w:val="auto"/>
          <w:szCs w:val="21"/>
          <w:highlight w:val="none"/>
          <w:lang w:val="en-US" w:eastAsia="zh-CN"/>
        </w:rPr>
        <w:t>竞争性谈判文件、</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所规定的货物、数量和规格要求。乙方提供的货物不符合</w:t>
      </w:r>
      <w:r>
        <w:rPr>
          <w:rFonts w:hint="eastAsia" w:asciiTheme="minorEastAsia" w:hAnsiTheme="minorEastAsia" w:eastAsiaTheme="minorEastAsia"/>
          <w:color w:val="auto"/>
          <w:szCs w:val="21"/>
          <w:highlight w:val="none"/>
          <w:lang w:val="en-US" w:eastAsia="zh-CN"/>
        </w:rPr>
        <w:t>竞争性谈判文件、</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和合同规定的，甲方有权拒收货物，由此引起的风险，由乙方承担。</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5.货物验收的标准：按行业通行标准、厂方出厂标准和乙方</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的承诺（详见合同附件载明的标准，并不低于国家相关标准）。甲乙双方应在货物安装完毕后的</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个工作日内进行运行效果验收。</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第八条 合同款结算及支付</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1.本合同项下所有款项均以人民币支付。</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3.结算原则：按实结算。</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4.如设计变更，增加的设备在清单中有的，按</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时的报价执行，若增加的设备在清单中没有的，结算时参照相似设备的</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报价，双方协商解决。</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5.付款方式：合同签订后支付合同价的30%，项目完成验收合格并经审计后付至审定价的97%，余款一年后一次性付清（无息）。</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伴随服务／售后服务</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1.乙方应按照国家有关法律法规规章和“三包”规定以及合同所附的“服务承诺”提供服务。</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3.若</w:t>
      </w:r>
      <w:r>
        <w:rPr>
          <w:rFonts w:hint="eastAsia" w:asciiTheme="minorEastAsia" w:hAnsiTheme="minorEastAsia" w:eastAsiaTheme="minorEastAsia" w:cstheme="minorEastAsia"/>
          <w:color w:val="auto"/>
          <w:szCs w:val="21"/>
          <w:highlight w:val="none"/>
          <w:lang w:eastAsia="zh-CN"/>
        </w:rPr>
        <w:t>竞争性谈判文件</w:t>
      </w:r>
      <w:r>
        <w:rPr>
          <w:rFonts w:hint="eastAsia" w:asciiTheme="minorEastAsia" w:hAnsiTheme="minorEastAsia" w:eastAsiaTheme="minorEastAsia" w:cstheme="minorEastAsia"/>
          <w:color w:val="auto"/>
          <w:szCs w:val="21"/>
          <w:highlight w:val="none"/>
        </w:rPr>
        <w:t>中不包含有关伴随服务或售后服务的承诺，双方作如下约定：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3.1所购货物按乙方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承诺提供免费维护和质量保证，保修费用计入总价。</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3.2货物故障报修的响应时间按乙方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承诺执行。</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3.3所有货物保修服务方式均为乙方上门保修，即由乙方派员到货物使用现场维修，由此产生的一切费用均由乙方承担。</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3.4保修期后的货物维护由双方协商再定。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4.本项目免费保修期为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年。自产品验收合格之日起计算。</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如乙方不能按时交付货物完成安装的，每逾期1天，乙方向甲方偿付合同总额5‰的违约金；乙方逾期交付货物或完成安装超过10天（含10天），甲方有权解除合同，同时有权要求乙方按照合同总价5%的标准支付违约金，解除合同的通知自发出之日生效。</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2.甲方未按合同规定的期限向乙方支付货款的，每逾期1天甲方向乙方偿付欠款总额的5‰滞纳金，但累计滞纳金总额不超过欠款总额的5% 。</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3.乙方所交付的货物品种、型号、规格不符合合同规定的，甲方有权拒收，同时有权解除合同，解除合同的通知自发出之日生效。</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5.乙方未按本合同的规定和“服务承诺”提供伴随服务/售后服务的，甲方有权提前解除本合同，同时乙方应按合同总价款的5 %向甲方承担违约责任。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7.乙方</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属虚假承诺，或经权威部门监测提供的货物不能满足</w:t>
      </w:r>
      <w:r>
        <w:rPr>
          <w:rFonts w:hint="eastAsia" w:asciiTheme="minorEastAsia" w:hAnsiTheme="minorEastAsia" w:eastAsiaTheme="minorEastAsia" w:cstheme="minorEastAsia"/>
          <w:color w:val="auto"/>
          <w:highlight w:val="none"/>
          <w:lang w:eastAsia="zh-CN"/>
        </w:rPr>
        <w:t>竞争性谈判文件</w:t>
      </w:r>
      <w:r>
        <w:rPr>
          <w:rFonts w:hint="eastAsia" w:asciiTheme="minorEastAsia" w:hAnsiTheme="minorEastAsia" w:eastAsiaTheme="minorEastAsia" w:cstheme="minorEastAsia"/>
          <w:color w:val="auto"/>
          <w:highlight w:val="none"/>
        </w:rPr>
        <w:t>要求，或是由于乙方的过错造成合同无法继续履行的，应向甲方支付不少于合同总价30%违约金，若该违约金不足以弥补甲方损失，则应当赔偿甲方所有损失。</w:t>
      </w:r>
    </w:p>
    <w:p>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8.其他未尽事宜，以《民法典》等有关法律法规规定为准，无相关规定的，双方协商解决。</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第十一条 合同的变更和终止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1.本合同一经签订，甲乙双方不得擅自变更、中止或终止合同。</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2.除发生法律规定的不能预见、不能避免并不能克服的客观情况外，甲乙双方不得放弃或拒绝履行合同。</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第十二条 合同的转让</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乙方不得擅自部分或全部转让其应履行的合同义务。</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第十三条 不可抗力</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质量问题或缺陷的索赔</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同时甲方有权按照合同总额5%标准向乙方主张违约金。若上述违约金不足以弥补甲方直接损失和间接损失，则乙方应赔偿甲方所有损失。</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甲方因主张上述权利而支出的所有合理费用，包括但不限于律师费、诉讼费、鉴定费、差旅费、保函费等，均由乙方承担。</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第十五条 争议的解决</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2.因履行本合同引起的或与本合同有关的争议，甲、乙双方应首先通过友好协商解决，如果协商不能解决争议，则采取以下第（1）种方式解决争议：</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（1）向</w:t>
      </w:r>
      <w:r>
        <w:rPr>
          <w:rFonts w:hint="eastAsia" w:asciiTheme="minorEastAsia" w:hAnsiTheme="minorEastAsia" w:eastAsiaTheme="minorEastAsia" w:cstheme="minorEastAsia"/>
          <w:color w:val="auto"/>
          <w:szCs w:val="21"/>
          <w:highlight w:val="none"/>
          <w:u w:val="single"/>
        </w:rPr>
        <w:t>常州市</w:t>
      </w:r>
      <w:r>
        <w:rPr>
          <w:rFonts w:hint="eastAsia" w:asciiTheme="minorEastAsia" w:hAnsiTheme="minorEastAsia" w:eastAsiaTheme="minorEastAsia" w:cstheme="minorEastAsia"/>
          <w:color w:val="auto"/>
          <w:szCs w:val="21"/>
          <w:highlight w:val="none"/>
          <w:u w:val="single"/>
          <w:lang w:val="en-US" w:eastAsia="zh-CN"/>
        </w:rPr>
        <w:t>人</w:t>
      </w:r>
      <w:r>
        <w:rPr>
          <w:rFonts w:hint="eastAsia" w:asciiTheme="minorEastAsia" w:hAnsiTheme="minorEastAsia" w:eastAsiaTheme="minorEastAsia" w:cstheme="minorEastAsia"/>
          <w:color w:val="auto"/>
          <w:szCs w:val="21"/>
          <w:highlight w:val="none"/>
          <w:u w:val="single"/>
        </w:rPr>
        <w:t>民法院</w:t>
      </w:r>
      <w:r>
        <w:rPr>
          <w:rFonts w:hint="eastAsia" w:asciiTheme="minorEastAsia" w:hAnsiTheme="minorEastAsia" w:eastAsiaTheme="minorEastAsia" w:cstheme="minorEastAsia"/>
          <w:color w:val="auto"/>
          <w:szCs w:val="21"/>
          <w:highlight w:val="none"/>
        </w:rPr>
        <w:t>提起诉讼；</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（2）向</w:t>
      </w:r>
      <w:r>
        <w:rPr>
          <w:rFonts w:hint="eastAsia" w:asciiTheme="minorEastAsia" w:hAnsiTheme="minorEastAsia" w:eastAsiaTheme="minorEastAsia" w:cstheme="minorEastAsia"/>
          <w:color w:val="auto"/>
          <w:szCs w:val="21"/>
          <w:highlight w:val="none"/>
          <w:u w:val="single"/>
        </w:rPr>
        <w:t>甲方所在地</w:t>
      </w:r>
      <w:r>
        <w:rPr>
          <w:rFonts w:hint="eastAsia" w:asciiTheme="minorEastAsia" w:hAnsiTheme="minorEastAsia" w:eastAsiaTheme="minorEastAsia" w:cstheme="minorEastAsia"/>
          <w:color w:val="auto"/>
          <w:szCs w:val="21"/>
          <w:highlight w:val="none"/>
        </w:rPr>
        <w:t>仲裁委员会按其仲裁规则申请仲裁。</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第十六条 诚实信用 </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乙方应诚实信用，严格按照</w:t>
      </w:r>
      <w:r>
        <w:rPr>
          <w:rFonts w:hint="eastAsia" w:asciiTheme="minorEastAsia" w:hAnsiTheme="minorEastAsia" w:eastAsiaTheme="minorEastAsia" w:cstheme="minorEastAsia"/>
          <w:color w:val="auto"/>
          <w:szCs w:val="21"/>
          <w:highlight w:val="none"/>
          <w:lang w:eastAsia="zh-CN"/>
        </w:rPr>
        <w:t>竞争性谈判文件</w:t>
      </w:r>
      <w:r>
        <w:rPr>
          <w:rFonts w:hint="eastAsia" w:asciiTheme="minorEastAsia" w:hAnsiTheme="minorEastAsia" w:eastAsiaTheme="minorEastAsia" w:cstheme="minorEastAsia"/>
          <w:color w:val="auto"/>
          <w:szCs w:val="21"/>
          <w:highlight w:val="none"/>
        </w:rPr>
        <w:t>要求和</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第十七条 合同生效及其他</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2.本合同一式伍份，甲乙双方各执贰份，见证方执壹份存档。</w:t>
      </w:r>
    </w:p>
    <w:p>
      <w:pPr>
        <w:spacing w:line="400" w:lineRule="exact"/>
        <w:jc w:val="left"/>
        <w:rPr>
          <w:rFonts w:ascii="宋体" w:hAnsi="宋体" w:cs="宋体"/>
          <w:b/>
          <w:bCs/>
          <w:color w:val="auto"/>
          <w:szCs w:val="21"/>
          <w:highlight w:val="none"/>
        </w:rPr>
      </w:pPr>
      <w:r>
        <w:rPr>
          <w:rFonts w:hint="eastAsia" w:asciiTheme="minorEastAsia" w:hAnsiTheme="minorEastAsia" w:eastAsiaTheme="minorEastAsia" w:cstheme="minorEastAsia"/>
          <w:color w:val="auto"/>
          <w:szCs w:val="21"/>
          <w:highlight w:val="none"/>
        </w:rPr>
        <w:t>3.本合同应按照中华人民共和国的现行法律进行解释。</w:t>
      </w: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经办人：                               电  话：</w:t>
      </w:r>
    </w:p>
    <w:p>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b w:val="0"/>
          <w:bCs/>
          <w:color w:val="auto"/>
          <w:szCs w:val="21"/>
          <w:highlight w:val="none"/>
        </w:rPr>
      </w:pPr>
      <w:r>
        <w:rPr>
          <w:rFonts w:hint="eastAsia" w:ascii="宋体" w:hAnsi="宋体"/>
          <w:b w:val="0"/>
          <w:bCs/>
          <w:color w:val="auto"/>
          <w:szCs w:val="21"/>
          <w:highlight w:val="none"/>
        </w:rPr>
        <w:t>一</w:t>
      </w:r>
      <w:r>
        <w:rPr>
          <w:rFonts w:ascii="宋体" w:hAnsi="宋体"/>
          <w:b w:val="0"/>
          <w:bCs/>
          <w:color w:val="auto"/>
          <w:szCs w:val="21"/>
          <w:highlight w:val="none"/>
        </w:rPr>
        <w:t>、</w:t>
      </w:r>
      <w:r>
        <w:rPr>
          <w:rFonts w:hint="eastAsia" w:ascii="宋体" w:hAnsi="宋体"/>
          <w:b w:val="0"/>
          <w:bCs/>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val="0"/>
        <w:spacing w:line="360" w:lineRule="exact"/>
        <w:ind w:firstLine="396" w:firstLineChars="200"/>
        <w:textAlignment w:val="auto"/>
        <w:rPr>
          <w:b w:val="0"/>
          <w:bCs/>
          <w:color w:val="auto"/>
          <w:highlight w:val="none"/>
        </w:rPr>
      </w:pPr>
      <w:r>
        <w:rPr>
          <w:rFonts w:hint="eastAsia" w:ascii="宋体" w:hAnsi="宋体"/>
          <w:b w:val="0"/>
          <w:bCs/>
          <w:color w:val="auto"/>
          <w:spacing w:val="-6"/>
          <w:szCs w:val="21"/>
          <w:highlight w:val="none"/>
        </w:rPr>
        <w:t>二</w:t>
      </w:r>
      <w:r>
        <w:rPr>
          <w:rFonts w:ascii="宋体" w:hAnsi="宋体"/>
          <w:b w:val="0"/>
          <w:bCs/>
          <w:color w:val="auto"/>
          <w:spacing w:val="-6"/>
          <w:szCs w:val="21"/>
          <w:highlight w:val="none"/>
        </w:rPr>
        <w:t>、</w:t>
      </w:r>
      <w:r>
        <w:rPr>
          <w:rFonts w:hint="eastAsia"/>
          <w:b w:val="0"/>
          <w:bCs/>
          <w:color w:val="auto"/>
          <w:highlight w:val="none"/>
        </w:rPr>
        <w:t>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b w:val="0"/>
          <w:bCs/>
          <w:color w:val="auto"/>
          <w:szCs w:val="21"/>
          <w:highlight w:val="none"/>
        </w:rPr>
      </w:pPr>
      <w:r>
        <w:rPr>
          <w:rFonts w:hint="eastAsia"/>
          <w:b w:val="0"/>
          <w:bCs/>
          <w:color w:val="auto"/>
          <w:highlight w:val="none"/>
        </w:rPr>
        <w:t>三</w:t>
      </w:r>
      <w:r>
        <w:rPr>
          <w:b w:val="0"/>
          <w:bCs/>
          <w:color w:val="auto"/>
          <w:highlight w:val="none"/>
        </w:rPr>
        <w:t>、</w:t>
      </w:r>
      <w:r>
        <w:rPr>
          <w:rFonts w:hint="eastAsia" w:ascii="宋体" w:hAnsi="宋体"/>
          <w:b w:val="0"/>
          <w:bCs/>
          <w:color w:val="auto"/>
          <w:spacing w:val="-6"/>
          <w:szCs w:val="21"/>
          <w:highlight w:val="none"/>
        </w:rPr>
        <w:t>对于小微企业进行价格扣除：对</w:t>
      </w:r>
      <w:r>
        <w:rPr>
          <w:rFonts w:ascii="宋体" w:hAnsi="宋体"/>
          <w:b w:val="0"/>
          <w:bCs/>
          <w:color w:val="auto"/>
          <w:spacing w:val="-6"/>
          <w:szCs w:val="21"/>
          <w:highlight w:val="none"/>
        </w:rPr>
        <w:t>小型和微型企业</w:t>
      </w:r>
      <w:r>
        <w:rPr>
          <w:rFonts w:hint="eastAsia" w:ascii="宋体" w:hAnsi="宋体"/>
          <w:b w:val="0"/>
          <w:bCs/>
          <w:color w:val="auto"/>
          <w:spacing w:val="-6"/>
          <w:szCs w:val="21"/>
          <w:highlight w:val="none"/>
        </w:rPr>
        <w:t>的</w:t>
      </w:r>
      <w:r>
        <w:rPr>
          <w:rFonts w:ascii="宋体" w:hAnsi="宋体"/>
          <w:b w:val="0"/>
          <w:bCs/>
          <w:color w:val="auto"/>
          <w:spacing w:val="-6"/>
          <w:szCs w:val="21"/>
          <w:highlight w:val="none"/>
        </w:rPr>
        <w:t>价格给予</w:t>
      </w:r>
      <w:r>
        <w:rPr>
          <w:rFonts w:hint="eastAsia" w:ascii="宋体" w:hAnsi="宋体"/>
          <w:b w:val="0"/>
          <w:bCs/>
          <w:color w:val="auto"/>
          <w:spacing w:val="-6"/>
          <w:szCs w:val="21"/>
          <w:highlight w:val="none"/>
          <w:lang w:val="en-US" w:eastAsia="zh-CN"/>
        </w:rPr>
        <w:t>10</w:t>
      </w:r>
      <w:r>
        <w:rPr>
          <w:rFonts w:ascii="宋体" w:hAnsi="宋体"/>
          <w:b w:val="0"/>
          <w:bCs/>
          <w:color w:val="auto"/>
          <w:spacing w:val="-6"/>
          <w:szCs w:val="21"/>
          <w:highlight w:val="none"/>
        </w:rPr>
        <w:t>%的扣除用扣除后的价格参与评审</w:t>
      </w:r>
      <w:r>
        <w:rPr>
          <w:rFonts w:hint="eastAsia" w:ascii="宋体" w:hAnsi="宋体"/>
          <w:b w:val="0"/>
          <w:bCs/>
          <w:color w:val="auto"/>
          <w:spacing w:val="-6"/>
          <w:szCs w:val="21"/>
          <w:highlight w:val="none"/>
        </w:rPr>
        <w:t>。属于残疾人福利性单位的视同小微企业，</w:t>
      </w:r>
      <w:r>
        <w:rPr>
          <w:rFonts w:ascii="宋体" w:hAnsi="宋体"/>
          <w:b w:val="0"/>
          <w:bCs/>
          <w:color w:val="auto"/>
          <w:spacing w:val="-6"/>
          <w:szCs w:val="21"/>
          <w:highlight w:val="none"/>
        </w:rPr>
        <w:t>给予</w:t>
      </w:r>
      <w:r>
        <w:rPr>
          <w:rFonts w:hint="eastAsia" w:ascii="宋体" w:hAnsi="宋体"/>
          <w:b w:val="0"/>
          <w:bCs/>
          <w:color w:val="auto"/>
          <w:spacing w:val="-6"/>
          <w:szCs w:val="21"/>
          <w:highlight w:val="none"/>
        </w:rPr>
        <w:t>价格扣除。小微企业</w:t>
      </w:r>
      <w:r>
        <w:rPr>
          <w:rFonts w:ascii="宋体" w:hAnsi="宋体"/>
          <w:b w:val="0"/>
          <w:bCs/>
          <w:color w:val="auto"/>
          <w:spacing w:val="-6"/>
          <w:szCs w:val="21"/>
          <w:highlight w:val="none"/>
        </w:rPr>
        <w:t>提供</w:t>
      </w:r>
      <w:r>
        <w:rPr>
          <w:rFonts w:hint="eastAsia" w:ascii="宋体" w:hAnsi="宋体"/>
          <w:b w:val="0"/>
          <w:bCs/>
          <w:color w:val="auto"/>
          <w:spacing w:val="-6"/>
          <w:szCs w:val="21"/>
          <w:highlight w:val="none"/>
        </w:rPr>
        <w:t>大</w:t>
      </w:r>
      <w:r>
        <w:rPr>
          <w:rFonts w:ascii="宋体" w:hAnsi="宋体"/>
          <w:b w:val="0"/>
          <w:bCs/>
          <w:color w:val="auto"/>
          <w:spacing w:val="-6"/>
          <w:szCs w:val="21"/>
          <w:highlight w:val="none"/>
        </w:rPr>
        <w:t>中型企业制造的货物的，视同为</w:t>
      </w:r>
      <w:r>
        <w:rPr>
          <w:rFonts w:hint="eastAsia" w:ascii="宋体" w:hAnsi="宋体"/>
          <w:b w:val="0"/>
          <w:bCs/>
          <w:color w:val="auto"/>
          <w:spacing w:val="-6"/>
          <w:szCs w:val="21"/>
          <w:highlight w:val="none"/>
        </w:rPr>
        <w:t>大</w:t>
      </w:r>
      <w:r>
        <w:rPr>
          <w:rFonts w:ascii="宋体" w:hAnsi="宋体"/>
          <w:b w:val="0"/>
          <w:bCs/>
          <w:color w:val="auto"/>
          <w:spacing w:val="-6"/>
          <w:szCs w:val="21"/>
          <w:highlight w:val="none"/>
        </w:rPr>
        <w:t>中型企业</w:t>
      </w:r>
      <w:r>
        <w:rPr>
          <w:rFonts w:hint="eastAsia" w:ascii="宋体" w:hAnsi="宋体"/>
          <w:b w:val="0"/>
          <w:bCs/>
          <w:color w:val="auto"/>
          <w:spacing w:val="-6"/>
          <w:szCs w:val="21"/>
          <w:highlight w:val="none"/>
        </w:rPr>
        <w:t>，不</w:t>
      </w:r>
      <w:r>
        <w:rPr>
          <w:rFonts w:ascii="宋体" w:hAnsi="宋体"/>
          <w:b w:val="0"/>
          <w:bCs/>
          <w:color w:val="auto"/>
          <w:spacing w:val="-6"/>
          <w:szCs w:val="21"/>
          <w:highlight w:val="none"/>
        </w:rPr>
        <w:t>给予</w:t>
      </w:r>
      <w:r>
        <w:rPr>
          <w:rFonts w:hint="eastAsia" w:ascii="宋体" w:hAnsi="宋体"/>
          <w:b w:val="0"/>
          <w:bCs/>
          <w:color w:val="auto"/>
          <w:spacing w:val="-6"/>
          <w:szCs w:val="21"/>
          <w:highlight w:val="none"/>
        </w:rPr>
        <w:t>价格扣除。</w:t>
      </w:r>
      <w:r>
        <w:rPr>
          <w:rFonts w:hint="eastAsia" w:ascii="宋体" w:hAnsi="宋体"/>
          <w:color w:val="auto"/>
          <w:szCs w:val="21"/>
          <w:highlight w:val="none"/>
          <w:lang w:eastAsia="zh-CN"/>
        </w:rPr>
        <w:t>供应商</w:t>
      </w:r>
      <w:r>
        <w:rPr>
          <w:rFonts w:hint="eastAsia" w:ascii="宋体" w:hAnsi="宋体"/>
          <w:color w:val="auto"/>
          <w:szCs w:val="21"/>
          <w:highlight w:val="none"/>
        </w:rPr>
        <w:t>提供的货物既有中型企业制造，也有小微企业制造的，不享受办法规定的小微企业扶持政策。</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b w:val="0"/>
          <w:bCs/>
          <w:color w:val="auto"/>
          <w:highlight w:val="none"/>
        </w:rPr>
      </w:pPr>
      <w:r>
        <w:rPr>
          <w:rFonts w:hint="eastAsia"/>
          <w:b w:val="0"/>
          <w:bCs/>
          <w:color w:val="auto"/>
          <w:highlight w:val="none"/>
          <w:lang w:val="en-US" w:eastAsia="zh-CN"/>
        </w:rPr>
        <w:t>四</w:t>
      </w:r>
      <w:r>
        <w:rPr>
          <w:rFonts w:hint="eastAsia"/>
          <w:b w:val="0"/>
          <w:bCs/>
          <w:color w:val="auto"/>
          <w:highlight w:val="none"/>
        </w:rPr>
        <w:t>、报价相同的，由采购人抽签确定成交供应商。</w:t>
      </w:r>
    </w:p>
    <w:p>
      <w:pPr>
        <w:spacing w:line="360" w:lineRule="exact"/>
        <w:ind w:firstLine="411" w:firstLineChars="196"/>
        <w:rPr>
          <w:rFonts w:hint="eastAsia" w:ascii="宋体" w:hAnsi="宋体"/>
          <w:color w:val="auto"/>
          <w:szCs w:val="21"/>
          <w:highlight w:val="none"/>
        </w:rPr>
      </w:pPr>
    </w:p>
    <w:p>
      <w:pPr>
        <w:spacing w:line="360" w:lineRule="exact"/>
        <w:ind w:firstLine="411" w:firstLineChars="196"/>
        <w:rPr>
          <w:rFonts w:hint="eastAsia" w:ascii="宋体" w:hAnsi="宋体"/>
          <w:color w:val="auto"/>
          <w:szCs w:val="21"/>
          <w:highlight w:val="none"/>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5"/>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w:t>
      </w:r>
      <w:r>
        <w:rPr>
          <w:rFonts w:hint="eastAsia" w:ascii="宋体" w:hAnsi="宋体"/>
          <w:color w:val="auto"/>
          <w:szCs w:val="21"/>
          <w:highlight w:val="none"/>
          <w:lang w:eastAsia="zh-CN"/>
        </w:rPr>
        <w:t>谈判</w:t>
      </w:r>
      <w:r>
        <w:rPr>
          <w:rFonts w:hint="eastAsia" w:ascii="宋体" w:hAnsi="宋体"/>
          <w:color w:val="auto"/>
          <w:szCs w:val="21"/>
          <w:highlight w:val="none"/>
        </w:rPr>
        <w:t>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w:t>
      </w:r>
      <w:r>
        <w:rPr>
          <w:rFonts w:hint="eastAsia" w:ascii="宋体" w:hAnsi="宋体"/>
          <w:color w:val="auto"/>
          <w:szCs w:val="21"/>
          <w:highlight w:val="none"/>
          <w:lang w:eastAsia="zh-CN"/>
        </w:rPr>
        <w:t>成交</w:t>
      </w:r>
      <w:r>
        <w:rPr>
          <w:rFonts w:hint="eastAsia" w:ascii="宋体" w:hAnsi="宋体"/>
          <w:color w:val="auto"/>
          <w:szCs w:val="21"/>
          <w:highlight w:val="none"/>
        </w:rPr>
        <w:t>、成交的；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9"/>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常州市武进区潞城街道办事处、</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w:t>
      </w:r>
      <w:r>
        <w:rPr>
          <w:rFonts w:hint="eastAsia" w:asciiTheme="minorEastAsia" w:hAnsiTheme="minorEastAsia" w:eastAsiaTheme="minorEastAsia"/>
          <w:color w:val="auto"/>
          <w:sz w:val="21"/>
          <w:szCs w:val="21"/>
          <w:highlight w:val="none"/>
          <w:lang w:val="en-US" w:eastAsia="zh-CN"/>
        </w:rPr>
        <w:t>货物</w:t>
      </w:r>
      <w:r>
        <w:rPr>
          <w:rFonts w:hint="eastAsia" w:asciiTheme="minorEastAsia" w:hAnsiTheme="minorEastAsia" w:eastAsiaTheme="minorEastAsia"/>
          <w:color w:val="auto"/>
          <w:sz w:val="21"/>
          <w:szCs w:val="21"/>
          <w:highlight w:val="none"/>
        </w:rPr>
        <w:t>、技术资料、设计、制造、检验、包装、发货、运输、装卸至现场指定地点、技术指导培训、质保期及维保服务和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保证金；若我单位成交，我单位愿意在签订合同前支付履约保证金，并按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5"/>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0"/>
              <w:spacing w:line="360" w:lineRule="auto"/>
              <w:jc w:val="center"/>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货物</w:t>
            </w:r>
          </w:p>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w:t>
            </w:r>
            <w:r>
              <w:rPr>
                <w:rFonts w:hint="eastAsia" w:ascii="宋体" w:hAnsi="宋体" w:cs="Arial"/>
                <w:color w:val="auto"/>
                <w:kern w:val="0"/>
                <w:szCs w:val="21"/>
                <w:highlight w:val="none"/>
                <w:lang w:eastAsia="zh-CN"/>
              </w:rPr>
              <w:t>人</w:t>
            </w:r>
            <w:r>
              <w:rPr>
                <w:rFonts w:hint="eastAsia" w:ascii="宋体" w:hAnsi="宋体" w:cs="Arial"/>
                <w:color w:val="auto"/>
                <w:kern w:val="0"/>
                <w:szCs w:val="21"/>
                <w:highlight w:val="none"/>
              </w:rPr>
              <w:t>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bl>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snapToGrid w:val="0"/>
        <w:spacing w:line="360" w:lineRule="auto"/>
        <w:rPr>
          <w:rFonts w:hint="eastAsia" w:eastAsia="宋体"/>
          <w:color w:val="auto"/>
          <w:szCs w:val="21"/>
          <w:highlight w:val="none"/>
          <w:lang w:eastAsia="zh-CN"/>
        </w:rPr>
      </w:pPr>
      <w:r>
        <w:rPr>
          <w:rFonts w:hint="eastAsia"/>
          <w:color w:val="auto"/>
          <w:szCs w:val="21"/>
          <w:highlight w:val="none"/>
        </w:rPr>
        <w:t>表式参考，可根据项目情况自行调整</w:t>
      </w:r>
      <w:r>
        <w:rPr>
          <w:rFonts w:hint="eastAsia"/>
          <w:color w:val="auto"/>
          <w:szCs w:val="21"/>
          <w:highlight w:val="none"/>
          <w:lang w:eastAsia="zh-CN"/>
        </w:rPr>
        <w:t>。</w:t>
      </w: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ascii="宋体" w:hAnsi="宋体" w:eastAsia="宋体" w:cs="宋体"/>
          <w:color w:val="auto"/>
          <w:sz w:val="24"/>
          <w:szCs w:val="24"/>
          <w:highlight w:val="none"/>
        </w:rPr>
      </w:pP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采购活动，提供的货物全部由符合政策要求的中小企业制造。企业的具体情况如下：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；制造商为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项目采购活动提供本单位制造的货物，或者提供其他残疾人福利性单位制造的货物（不包括使用非残疾人福利性单位注册商标的货物）。</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AB3D23"/>
    <w:rsid w:val="0203181E"/>
    <w:rsid w:val="03FE4155"/>
    <w:rsid w:val="0917644A"/>
    <w:rsid w:val="095F2B40"/>
    <w:rsid w:val="0AC456FE"/>
    <w:rsid w:val="12575383"/>
    <w:rsid w:val="12D00772"/>
    <w:rsid w:val="130B2ECB"/>
    <w:rsid w:val="13531C5C"/>
    <w:rsid w:val="13D049AB"/>
    <w:rsid w:val="13DD0205"/>
    <w:rsid w:val="157C54AE"/>
    <w:rsid w:val="17CB7AB1"/>
    <w:rsid w:val="184C09B9"/>
    <w:rsid w:val="199F3089"/>
    <w:rsid w:val="19D34041"/>
    <w:rsid w:val="19DF25B4"/>
    <w:rsid w:val="1D1E7639"/>
    <w:rsid w:val="1E884F29"/>
    <w:rsid w:val="20510D4E"/>
    <w:rsid w:val="23030876"/>
    <w:rsid w:val="237972F9"/>
    <w:rsid w:val="24C02A8C"/>
    <w:rsid w:val="26B30519"/>
    <w:rsid w:val="27816FC0"/>
    <w:rsid w:val="2A4715BD"/>
    <w:rsid w:val="2D483BE9"/>
    <w:rsid w:val="2D990C72"/>
    <w:rsid w:val="2EE619C7"/>
    <w:rsid w:val="343E6792"/>
    <w:rsid w:val="35120A01"/>
    <w:rsid w:val="36C66297"/>
    <w:rsid w:val="375436D0"/>
    <w:rsid w:val="37AD4689"/>
    <w:rsid w:val="3A987192"/>
    <w:rsid w:val="3D5D2732"/>
    <w:rsid w:val="3D60217E"/>
    <w:rsid w:val="3EF20AC8"/>
    <w:rsid w:val="413F7265"/>
    <w:rsid w:val="41577781"/>
    <w:rsid w:val="41894BD4"/>
    <w:rsid w:val="43012F5A"/>
    <w:rsid w:val="43887E77"/>
    <w:rsid w:val="44C10D82"/>
    <w:rsid w:val="44F557CA"/>
    <w:rsid w:val="47587EC6"/>
    <w:rsid w:val="48AC4CEE"/>
    <w:rsid w:val="4CFE61A4"/>
    <w:rsid w:val="4D043CAC"/>
    <w:rsid w:val="4F020CAE"/>
    <w:rsid w:val="52A22EE0"/>
    <w:rsid w:val="54DF00B2"/>
    <w:rsid w:val="55930C5B"/>
    <w:rsid w:val="562C33EA"/>
    <w:rsid w:val="5C1D4FB4"/>
    <w:rsid w:val="5C290EA4"/>
    <w:rsid w:val="5CD0123D"/>
    <w:rsid w:val="5ECB2C1D"/>
    <w:rsid w:val="5F4F2FEA"/>
    <w:rsid w:val="5FC80EE5"/>
    <w:rsid w:val="65871EF3"/>
    <w:rsid w:val="690C6515"/>
    <w:rsid w:val="697D52E7"/>
    <w:rsid w:val="6A4B7D29"/>
    <w:rsid w:val="6BD37D5E"/>
    <w:rsid w:val="6D837349"/>
    <w:rsid w:val="6E6A4AAC"/>
    <w:rsid w:val="736C4651"/>
    <w:rsid w:val="76AF5792"/>
    <w:rsid w:val="79157A6A"/>
    <w:rsid w:val="79F75119"/>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 w:type="character" w:customStyle="1" w:styleId="18">
    <w:name w:val="font2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2021-11-26T03:09:34Z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EBA83D4D08EB49E98BBE3D28CB590960</vt:lpwstr>
  </property>
</Properties>
</file>