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lang w:eastAsia="zh-CN"/>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SYZB-SJ-2021010</w:t>
      </w:r>
    </w:p>
    <w:p>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经开区2021-2022年移动式车载大气自动监测系统运维服务项目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常州市生态环境局常州经济开发区分局</w:t>
      </w:r>
    </w:p>
    <w:p>
      <w:pPr>
        <w:spacing w:line="680" w:lineRule="exact"/>
        <w:jc w:val="center"/>
        <w:rPr>
          <w:rFonts w:ascii="宋体" w:hAnsi="宋体" w:cs="宋体"/>
          <w:color w:val="auto"/>
          <w:sz w:val="44"/>
          <w:szCs w:val="44"/>
          <w:highlight w:val="none"/>
        </w:rPr>
      </w:pPr>
    </w:p>
    <w:p>
      <w:pPr>
        <w:spacing w:line="480" w:lineRule="exact"/>
        <w:ind w:firstLine="750" w:firstLineChars="250"/>
        <w:jc w:val="center"/>
        <w:rPr>
          <w:rFonts w:ascii="宋体" w:hAnsi="宋体" w:cs="宋体"/>
          <w:color w:val="auto"/>
          <w:sz w:val="30"/>
          <w:szCs w:val="30"/>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十一</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 xml:space="preserve">第二章  </w:t>
      </w:r>
      <w:r>
        <w:rPr>
          <w:rFonts w:hint="eastAsia" w:ascii="宋体" w:hAnsi="宋体" w:cs="宋体"/>
          <w:b/>
          <w:color w:val="auto"/>
          <w:sz w:val="32"/>
          <w:szCs w:val="32"/>
          <w:highlight w:val="none"/>
          <w:lang w:eastAsia="zh-CN"/>
        </w:rPr>
        <w:t>谈判</w:t>
      </w:r>
      <w:r>
        <w:rPr>
          <w:rFonts w:hint="eastAsia" w:ascii="宋体" w:hAnsi="宋体" w:cs="宋体"/>
          <w:b/>
          <w:color w:val="auto"/>
          <w:sz w:val="32"/>
          <w:szCs w:val="32"/>
          <w:highlight w:val="none"/>
        </w:rPr>
        <w:t>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15-18</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19-21</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22</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23-30</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31</w:t>
      </w:r>
      <w:bookmarkStart w:id="43" w:name="_GoBack"/>
      <w:bookmarkEnd w:id="43"/>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lang w:eastAsia="zh-CN"/>
        </w:rPr>
      </w:pPr>
      <w:bookmarkStart w:id="0" w:name="_Toc35393797"/>
      <w:bookmarkStart w:id="1" w:name="_Toc28359011"/>
      <w:bookmarkStart w:id="2" w:name="_Toc35393789"/>
      <w:bookmarkStart w:id="3" w:name="_Toc28359001"/>
      <w:r>
        <w:rPr>
          <w:rFonts w:hint="eastAsia" w:ascii="宋体" w:hAnsi="宋体"/>
          <w:b/>
          <w:color w:val="auto"/>
          <w:sz w:val="28"/>
          <w:szCs w:val="28"/>
          <w:highlight w:val="none"/>
          <w:lang w:eastAsia="zh-CN"/>
        </w:rPr>
        <w:t>经开区2021-2022年移动式车载大气自动监测系统运维服务项目</w:t>
      </w:r>
    </w:p>
    <w:p>
      <w:pPr>
        <w:snapToGrid w:val="0"/>
        <w:jc w:val="center"/>
        <w:rPr>
          <w:rFonts w:hint="eastAsia" w:ascii="宋体" w:hAnsi="宋体"/>
          <w:b/>
          <w:color w:val="auto"/>
          <w:sz w:val="28"/>
          <w:szCs w:val="28"/>
          <w:highlight w:val="none"/>
        </w:rPr>
      </w:pP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28359089"/>
      <w:bookmarkStart w:id="5" w:name="_Toc28359012"/>
      <w:bookmarkStart w:id="6" w:name="_Toc35393798"/>
      <w:bookmarkStart w:id="7" w:name="_Toc35393629"/>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经开区2021-2022年移动式车载大气自动监测系统运维服务项目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2021年11月15</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13</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SYZB-SJ-2021010</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经开区2021-2022年移动式车载大气自动监测系统运维服务项目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lang w:val="en-US" w:eastAsia="zh-CN"/>
        </w:rPr>
        <w:t>方</w:t>
      </w:r>
      <w:r>
        <w:rPr>
          <w:rFonts w:hint="eastAsia" w:cs="宋体" w:asciiTheme="minorEastAsia" w:hAnsiTheme="minorEastAsia" w:eastAsiaTheme="minorEastAsia"/>
          <w:color w:val="auto"/>
          <w:szCs w:val="21"/>
          <w:highlight w:val="none"/>
        </w:rPr>
        <w:t>式：竞争性谈判</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color w:val="auto"/>
          <w:szCs w:val="21"/>
          <w:highlight w:val="none"/>
          <w:lang w:val="en-US" w:eastAsia="zh-CN"/>
        </w:rPr>
        <w:t>10万元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10万元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采购需求：</w:t>
      </w: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val="en-US" w:eastAsia="zh-CN"/>
        </w:rPr>
        <w:t>经开区2021-2022年移动式车载大气自动监测系统运维服务项目</w:t>
      </w:r>
      <w:r>
        <w:rPr>
          <w:rFonts w:hint="eastAsia" w:asciiTheme="minorEastAsia" w:hAnsiTheme="minorEastAsia" w:eastAsiaTheme="minorEastAsia" w:cstheme="minorEastAsia"/>
          <w:color w:val="auto"/>
          <w:spacing w:val="2"/>
          <w:szCs w:val="21"/>
          <w:highlight w:val="none"/>
          <w:u w:val="none"/>
        </w:rPr>
        <w:t>，服务内容包括</w:t>
      </w:r>
      <w:r>
        <w:rPr>
          <w:rFonts w:hint="eastAsia" w:asciiTheme="minorEastAsia" w:hAnsiTheme="minorEastAsia" w:eastAsiaTheme="minorEastAsia" w:cstheme="minorEastAsia"/>
          <w:color w:val="auto"/>
          <w:spacing w:val="2"/>
          <w:szCs w:val="21"/>
          <w:highlight w:val="none"/>
          <w:u w:val="none"/>
          <w:lang w:val="en-US" w:eastAsia="zh-CN"/>
        </w:rPr>
        <w:t>但不仅限于负责移动监测车运行维护全托管服务，保障系统正常运行。提供日常运维、质量保证、故障维修等技术服务工作；做好移动车空气质量应急监测，提供数据、报告等服务；协助做好其他相关保障工作</w:t>
      </w:r>
      <w:r>
        <w:rPr>
          <w:rFonts w:hint="eastAsia" w:asciiTheme="minorEastAsia" w:hAnsiTheme="minorEastAsia" w:eastAsiaTheme="minorEastAsia" w:cstheme="minorEastAsia"/>
          <w:color w:val="auto"/>
          <w:spacing w:val="2"/>
          <w:szCs w:val="21"/>
          <w:highlight w:val="none"/>
          <w:u w:val="none"/>
        </w:rPr>
        <w:t>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一年。</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35393799"/>
      <w:bookmarkStart w:id="9" w:name="_Toc35393630"/>
      <w:bookmarkStart w:id="10" w:name="_Toc28359013"/>
      <w:bookmarkStart w:id="11" w:name="_Toc28359090"/>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91"/>
      <w:bookmarkStart w:id="13" w:name="_Toc28359014"/>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800"/>
      <w:bookmarkStart w:id="15" w:name="_Toc35393631"/>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）单位负责人为同一人或者存在直接控股、管理关系的不同供应商，不得参加同一合同项下的采购活动；</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r>
        <w:rPr>
          <w:rFonts w:hint="eastAsia" w:cs="宋体" w:asciiTheme="minorEastAsia" w:hAnsiTheme="minorEastAsia" w:eastAsiaTheme="minorEastAsia"/>
          <w:color w:val="auto"/>
          <w:szCs w:val="21"/>
          <w:highlight w:val="none"/>
          <w:lang w:val="en-US" w:eastAsia="zh-CN"/>
        </w:rPr>
        <w:t>。</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2021年11月9</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28359015"/>
      <w:bookmarkStart w:id="17" w:name="_Toc35393632"/>
      <w:bookmarkStart w:id="18" w:name="_Toc28359092"/>
      <w:bookmarkStart w:id="19" w:name="_Toc35393801"/>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2021年11月15</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13</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35393803"/>
      <w:bookmarkStart w:id="21" w:name="_Toc28359094"/>
      <w:bookmarkStart w:id="22" w:name="_Toc28359017"/>
      <w:bookmarkStart w:id="23" w:name="_Toc35393634"/>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804"/>
      <w:bookmarkStart w:id="25" w:name="_Toc35393635"/>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人民币贰仟元整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到帐截止日期：2021年11月12日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35393805"/>
      <w:bookmarkStart w:id="27" w:name="_Toc28359095"/>
      <w:bookmarkStart w:id="28" w:name="_Toc35393636"/>
      <w:bookmarkStart w:id="29" w:name="_Toc28359018"/>
      <w:r>
        <w:rPr>
          <w:rFonts w:hint="eastAsia" w:cs="宋体" w:asciiTheme="minorEastAsia" w:hAnsiTheme="minorEastAsia" w:eastAsiaTheme="minorEastAsia"/>
          <w:color w:val="auto"/>
          <w:szCs w:val="21"/>
          <w:highlight w:val="none"/>
          <w:lang w:eastAsia="zh-CN"/>
        </w:rPr>
        <w:t>各供应商应只安排1名代表现场谈判。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28359019"/>
      <w:bookmarkStart w:id="31" w:name="_Toc35393637"/>
      <w:bookmarkStart w:id="32" w:name="_Toc28359096"/>
      <w:bookmarkStart w:id="33" w:name="_Toc35393806"/>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val="en-US" w:eastAsia="zh-CN"/>
        </w:rPr>
        <w:t>常州市生态环境局常州经济开发区分局</w:t>
      </w:r>
    </w:p>
    <w:p>
      <w:pPr>
        <w:spacing w:line="360" w:lineRule="exact"/>
        <w:ind w:firstLine="420" w:firstLineChars="200"/>
        <w:rPr>
          <w:rFonts w:cs="宋体" w:asciiTheme="minorEastAsia" w:hAnsiTheme="minorEastAsia" w:eastAsiaTheme="minorEastAsia"/>
          <w:color w:val="auto"/>
          <w:szCs w:val="21"/>
          <w:highlight w:val="none"/>
        </w:rPr>
      </w:pPr>
      <w:bookmarkStart w:id="34" w:name="_Toc35393807"/>
      <w:bookmarkStart w:id="35" w:name="_Toc35393638"/>
      <w:bookmarkStart w:id="36" w:name="_Toc28359020"/>
      <w:bookmarkStart w:id="37" w:name="_Toc28359097"/>
      <w:r>
        <w:rPr>
          <w:rFonts w:hint="eastAsia" w:cs="宋体" w:asciiTheme="minorEastAsia" w:hAnsiTheme="minorEastAsia" w:eastAsiaTheme="minorEastAsia"/>
          <w:color w:val="auto"/>
          <w:szCs w:val="21"/>
          <w:highlight w:val="none"/>
        </w:rPr>
        <w:t>地址：常州市武进区东方路168号</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联系方式：陈伟、0519-89861801</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21"/>
      <w:bookmarkStart w:id="39" w:name="_Toc35393639"/>
      <w:bookmarkStart w:id="40" w:name="_Toc28359098"/>
      <w:bookmarkStart w:id="41" w:name="_Toc35393808"/>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电话：18661175841</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0"/>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lang w:eastAsia="zh-CN"/>
              </w:rPr>
              <w:t>谈判</w:t>
            </w:r>
            <w:r>
              <w:rPr>
                <w:rFonts w:hint="eastAsia" w:ascii="宋体" w:hAnsi="宋体"/>
                <w:color w:val="auto"/>
                <w:szCs w:val="21"/>
                <w:highlight w:val="none"/>
              </w:rPr>
              <w:t>过程中答疑补充等相关文件都及时关注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lang w:eastAsia="zh-CN"/>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有效期为规定的开标之日后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rPr>
        <w:t>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w:t>
      </w:r>
      <w:r>
        <w:rPr>
          <w:rFonts w:hint="eastAsia" w:ascii="宋体" w:hAnsi="宋体" w:cs="宋体"/>
          <w:b/>
          <w:color w:val="auto"/>
          <w:szCs w:val="21"/>
          <w:highlight w:val="none"/>
          <w:lang w:eastAsia="zh-CN"/>
        </w:rPr>
        <w:t>服务</w:t>
      </w:r>
      <w:r>
        <w:rPr>
          <w:rFonts w:hint="eastAsia" w:ascii="宋体" w:hAnsi="宋体" w:cs="宋体"/>
          <w:b/>
          <w:color w:val="auto"/>
          <w:szCs w:val="21"/>
          <w:highlight w:val="none"/>
        </w:rPr>
        <w:t>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竞争性谈判采购方式</w:t>
      </w:r>
      <w:r>
        <w:rPr>
          <w:rFonts w:hint="eastAsia" w:ascii="宋体" w:hAnsi="宋体" w:cs="宋体"/>
          <w:color w:val="auto"/>
          <w:szCs w:val="21"/>
          <w:highlight w:val="none"/>
        </w:rPr>
        <w:t>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3"/>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0288"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6192;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.2代理服务收费标准</w:t>
      </w:r>
    </w:p>
    <w:tbl>
      <w:tblPr>
        <w:tblStyle w:val="10"/>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3360;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1312;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2336;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.3签订合同后，成交供应商不得将相关服务进行转包。未经采购人同意，成交供应商也不得采用分包的形式履行合同，否则采购人有权终止合同。转包或分包造成采购人损失的，成交供应商应承担相应赔偿责任。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.4合同履行中，采购人需追加与合同标的相同的服务的，在不改变合同其他条款的前提下，可以与成交供应商协商签订补充合同，但所有补充合同的采购金额不超过原合同金额10%。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参与采购活动的当事人应对采购文件和谈判响应文件中的商业秘密保密，违者应对由此造成的后果承担法律责任。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pStyle w:val="5"/>
        <w:rPr>
          <w:rFonts w:hint="eastAsia"/>
          <w:color w:val="auto"/>
          <w:highlight w:val="none"/>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.服务方案</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spacing w:line="360" w:lineRule="exact"/>
        <w:ind w:firstLine="424" w:firstLineChars="201"/>
        <w:rPr>
          <w:rFonts w:ascii="宋体" w:hAnsi="宋体" w:cs="宋体"/>
          <w:b/>
          <w:bCs/>
          <w:color w:val="auto"/>
          <w:szCs w:val="21"/>
          <w:highlight w:val="none"/>
        </w:rPr>
      </w:pPr>
      <w:r>
        <w:rPr>
          <w:rFonts w:ascii="宋体" w:hAnsi="宋体" w:cs="宋体"/>
          <w:b/>
          <w:bCs/>
          <w:color w:val="auto"/>
          <w:szCs w:val="21"/>
          <w:highlight w:val="none"/>
        </w:rPr>
        <w:t>3</w:t>
      </w:r>
      <w:r>
        <w:rPr>
          <w:rFonts w:hint="eastAsia" w:ascii="宋体" w:hAnsi="宋体" w:cs="宋体"/>
          <w:b/>
          <w:bCs/>
          <w:color w:val="auto"/>
          <w:szCs w:val="21"/>
          <w:highlight w:val="none"/>
        </w:rPr>
        <w:t>.供应商需按</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响应文件的组成要求进行编制，同时提供评分索引表。</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一、项目概况</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val="en-US" w:eastAsia="zh-CN"/>
        </w:rPr>
        <w:t>经开区2021-2022年移动式车载大气自动监测系统运维服务项目</w:t>
      </w:r>
      <w:r>
        <w:rPr>
          <w:rFonts w:hint="eastAsia" w:asciiTheme="minorEastAsia" w:hAnsiTheme="minorEastAsia" w:eastAsiaTheme="minorEastAsia" w:cstheme="minorEastAsia"/>
          <w:color w:val="auto"/>
          <w:spacing w:val="2"/>
          <w:szCs w:val="21"/>
          <w:highlight w:val="none"/>
          <w:u w:val="none"/>
        </w:rPr>
        <w:t>，服务内容包括</w:t>
      </w:r>
      <w:r>
        <w:rPr>
          <w:rFonts w:hint="eastAsia" w:asciiTheme="minorEastAsia" w:hAnsiTheme="minorEastAsia" w:eastAsiaTheme="minorEastAsia" w:cstheme="minorEastAsia"/>
          <w:color w:val="auto"/>
          <w:spacing w:val="2"/>
          <w:szCs w:val="21"/>
          <w:highlight w:val="none"/>
          <w:u w:val="none"/>
          <w:lang w:val="en-US" w:eastAsia="zh-CN"/>
        </w:rPr>
        <w:t>但不仅限于负责移动监测车运行维护全托管服务，保障系统正常运行。提供日常运维、质量保证、故障维修等技术服务工作；做好移动车空气质量应急监测，提供数据、报告等服务；协助做好其他相关保障工作</w:t>
      </w:r>
      <w:r>
        <w:rPr>
          <w:rFonts w:hint="eastAsia" w:asciiTheme="minorEastAsia" w:hAnsiTheme="minorEastAsia" w:eastAsiaTheme="minorEastAsia" w:cstheme="minorEastAsia"/>
          <w:color w:val="auto"/>
          <w:spacing w:val="2"/>
          <w:szCs w:val="21"/>
          <w:highlight w:val="none"/>
          <w:u w:val="none"/>
        </w:rPr>
        <w:t>等。</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二、</w:t>
      </w:r>
      <w:r>
        <w:rPr>
          <w:rFonts w:hint="eastAsia" w:asciiTheme="minorEastAsia" w:hAnsiTheme="minorEastAsia" w:eastAsiaTheme="minorEastAsia" w:cstheme="minorEastAsia"/>
          <w:b/>
          <w:color w:val="auto"/>
          <w:szCs w:val="21"/>
          <w:highlight w:val="none"/>
          <w:u w:val="none"/>
          <w:lang w:eastAsia="zh-CN"/>
        </w:rPr>
        <w:t>服务</w:t>
      </w:r>
      <w:r>
        <w:rPr>
          <w:rFonts w:hint="eastAsia" w:asciiTheme="minorEastAsia" w:hAnsiTheme="minorEastAsia" w:eastAsiaTheme="minorEastAsia" w:cstheme="minorEastAsia"/>
          <w:b/>
          <w:color w:val="auto"/>
          <w:szCs w:val="21"/>
          <w:highlight w:val="none"/>
          <w:u w:val="none"/>
        </w:rPr>
        <w:t>内容及要求</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lang w:val="en-US" w:eastAsia="zh-CN"/>
        </w:rPr>
      </w:pPr>
      <w:r>
        <w:rPr>
          <w:rFonts w:hint="eastAsia" w:asciiTheme="minorEastAsia" w:hAnsiTheme="minorEastAsia" w:eastAsiaTheme="minorEastAsia" w:cstheme="minorEastAsia"/>
          <w:b/>
          <w:bCs/>
          <w:color w:val="auto"/>
          <w:spacing w:val="2"/>
          <w:szCs w:val="21"/>
          <w:highlight w:val="none"/>
          <w:u w:val="none"/>
          <w:lang w:val="en-US" w:eastAsia="zh-CN"/>
        </w:rPr>
        <w:t>2.1移动式车载大气自动监测系统设备情况</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本次运维服务的设备如下：</w:t>
      </w:r>
    </w:p>
    <w:tbl>
      <w:tblPr>
        <w:tblStyle w:val="10"/>
        <w:tblW w:w="4998" w:type="pct"/>
        <w:jc w:val="center"/>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tblLayout w:type="autofit"/>
        <w:tblCellMar>
          <w:top w:w="0" w:type="dxa"/>
          <w:left w:w="108" w:type="dxa"/>
          <w:bottom w:w="0" w:type="dxa"/>
          <w:right w:w="108" w:type="dxa"/>
        </w:tblCellMar>
      </w:tblPr>
      <w:tblGrid>
        <w:gridCol w:w="760"/>
        <w:gridCol w:w="1142"/>
        <w:gridCol w:w="1902"/>
        <w:gridCol w:w="1955"/>
        <w:gridCol w:w="1203"/>
        <w:gridCol w:w="1557"/>
      </w:tblGrid>
      <w:tr>
        <w:tblPrEx>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tblCellMar>
            <w:top w:w="0" w:type="dxa"/>
            <w:left w:w="108" w:type="dxa"/>
            <w:bottom w:w="0" w:type="dxa"/>
            <w:right w:w="108" w:type="dxa"/>
          </w:tblCellMar>
        </w:tblPrEx>
        <w:trPr>
          <w:trHeight w:val="283" w:hRule="atLeast"/>
          <w:jc w:val="center"/>
        </w:trPr>
        <w:tc>
          <w:tcPr>
            <w:tcW w:w="44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序号</w:t>
            </w:r>
          </w:p>
        </w:tc>
        <w:tc>
          <w:tcPr>
            <w:tcW w:w="670"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站点名称</w:t>
            </w:r>
          </w:p>
        </w:tc>
        <w:tc>
          <w:tcPr>
            <w:tcW w:w="111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仪器名称</w:t>
            </w:r>
          </w:p>
        </w:tc>
        <w:tc>
          <w:tcPr>
            <w:tcW w:w="1147"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型号</w:t>
            </w:r>
          </w:p>
        </w:tc>
        <w:tc>
          <w:tcPr>
            <w:tcW w:w="70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使用起始时间</w:t>
            </w:r>
          </w:p>
        </w:tc>
        <w:tc>
          <w:tcPr>
            <w:tcW w:w="913"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备注</w:t>
            </w:r>
          </w:p>
        </w:tc>
      </w:tr>
      <w:tr>
        <w:tblPrEx>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tblCellMar>
            <w:top w:w="0" w:type="dxa"/>
            <w:left w:w="108" w:type="dxa"/>
            <w:bottom w:w="0" w:type="dxa"/>
            <w:right w:w="108" w:type="dxa"/>
          </w:tblCellMar>
        </w:tblPrEx>
        <w:trPr>
          <w:cantSplit/>
          <w:trHeight w:val="283" w:hRule="atLeast"/>
          <w:jc w:val="center"/>
        </w:trPr>
        <w:tc>
          <w:tcPr>
            <w:tcW w:w="446" w:type="pct"/>
            <w:vMerge w:val="restart"/>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670" w:type="pct"/>
            <w:vMerge w:val="restart"/>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u w:val="none"/>
                <w:lang w:val="en-US" w:eastAsia="zh-CN"/>
              </w:rPr>
              <w:t>移动式车载大气自动监测系统</w:t>
            </w:r>
          </w:p>
        </w:tc>
        <w:tc>
          <w:tcPr>
            <w:tcW w:w="111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NOx分析仪</w:t>
            </w:r>
          </w:p>
        </w:tc>
        <w:tc>
          <w:tcPr>
            <w:tcW w:w="1147"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API 200E</w:t>
            </w:r>
          </w:p>
        </w:tc>
        <w:tc>
          <w:tcPr>
            <w:tcW w:w="70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201</w:t>
            </w:r>
            <w:r>
              <w:rPr>
                <w:rFonts w:hint="eastAsia" w:asciiTheme="minorEastAsia" w:hAnsiTheme="minorEastAsia" w:eastAsiaTheme="minorEastAsia" w:cstheme="minorEastAsia"/>
                <w:color w:val="auto"/>
                <w:kern w:val="0"/>
                <w:sz w:val="21"/>
                <w:szCs w:val="21"/>
                <w:highlight w:val="none"/>
                <w:lang w:val="en-US" w:eastAsia="zh-CN"/>
              </w:rPr>
              <w:t>0年</w:t>
            </w:r>
          </w:p>
        </w:tc>
        <w:tc>
          <w:tcPr>
            <w:tcW w:w="913"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正常使用</w:t>
            </w:r>
          </w:p>
        </w:tc>
      </w:tr>
      <w:tr>
        <w:tblPrEx>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tblCellMar>
            <w:top w:w="0" w:type="dxa"/>
            <w:left w:w="108" w:type="dxa"/>
            <w:bottom w:w="0" w:type="dxa"/>
            <w:right w:w="108" w:type="dxa"/>
          </w:tblCellMar>
        </w:tblPrEx>
        <w:trPr>
          <w:cantSplit/>
          <w:trHeight w:val="283" w:hRule="atLeast"/>
          <w:jc w:val="center"/>
        </w:trPr>
        <w:tc>
          <w:tcPr>
            <w:tcW w:w="446" w:type="pct"/>
            <w:vMerge w:val="continue"/>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670" w:type="pct"/>
            <w:vMerge w:val="continue"/>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111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CO分析仪</w:t>
            </w:r>
          </w:p>
        </w:tc>
        <w:tc>
          <w:tcPr>
            <w:tcW w:w="1147"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API 300E</w:t>
            </w:r>
          </w:p>
        </w:tc>
        <w:tc>
          <w:tcPr>
            <w:tcW w:w="70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201</w:t>
            </w:r>
            <w:r>
              <w:rPr>
                <w:rFonts w:hint="eastAsia" w:asciiTheme="minorEastAsia" w:hAnsiTheme="minorEastAsia" w:eastAsiaTheme="minorEastAsia" w:cstheme="minorEastAsia"/>
                <w:color w:val="auto"/>
                <w:kern w:val="0"/>
                <w:sz w:val="21"/>
                <w:szCs w:val="21"/>
                <w:highlight w:val="none"/>
                <w:lang w:val="en-US" w:eastAsia="zh-CN"/>
              </w:rPr>
              <w:t>0年</w:t>
            </w:r>
          </w:p>
        </w:tc>
        <w:tc>
          <w:tcPr>
            <w:tcW w:w="913"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正常使用</w:t>
            </w:r>
          </w:p>
        </w:tc>
      </w:tr>
      <w:tr>
        <w:tblPrEx>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tblCellMar>
            <w:top w:w="0" w:type="dxa"/>
            <w:left w:w="108" w:type="dxa"/>
            <w:bottom w:w="0" w:type="dxa"/>
            <w:right w:w="108" w:type="dxa"/>
          </w:tblCellMar>
        </w:tblPrEx>
        <w:trPr>
          <w:cantSplit/>
          <w:trHeight w:val="283" w:hRule="atLeast"/>
          <w:jc w:val="center"/>
        </w:trPr>
        <w:tc>
          <w:tcPr>
            <w:tcW w:w="446" w:type="pct"/>
            <w:vMerge w:val="continue"/>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670" w:type="pct"/>
            <w:vMerge w:val="continue"/>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111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O3分析仪</w:t>
            </w:r>
          </w:p>
        </w:tc>
        <w:tc>
          <w:tcPr>
            <w:tcW w:w="1147"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API 400E</w:t>
            </w:r>
          </w:p>
        </w:tc>
        <w:tc>
          <w:tcPr>
            <w:tcW w:w="70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2010年</w:t>
            </w:r>
          </w:p>
        </w:tc>
        <w:tc>
          <w:tcPr>
            <w:tcW w:w="913"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正常使用</w:t>
            </w:r>
          </w:p>
        </w:tc>
      </w:tr>
      <w:tr>
        <w:tblPrEx>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tblCellMar>
            <w:top w:w="0" w:type="dxa"/>
            <w:left w:w="108" w:type="dxa"/>
            <w:bottom w:w="0" w:type="dxa"/>
            <w:right w:w="108" w:type="dxa"/>
          </w:tblCellMar>
        </w:tblPrEx>
        <w:trPr>
          <w:trHeight w:val="283" w:hRule="atLeast"/>
          <w:jc w:val="center"/>
        </w:trPr>
        <w:tc>
          <w:tcPr>
            <w:tcW w:w="446" w:type="pct"/>
            <w:vMerge w:val="continue"/>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670" w:type="pct"/>
            <w:vMerge w:val="continue"/>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111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PM</w:t>
            </w:r>
            <w:r>
              <w:rPr>
                <w:rFonts w:hint="eastAsia" w:asciiTheme="minorEastAsia" w:hAnsiTheme="minorEastAsia" w:eastAsiaTheme="minorEastAsia" w:cstheme="minorEastAsia"/>
                <w:color w:val="auto"/>
                <w:kern w:val="0"/>
                <w:sz w:val="21"/>
                <w:szCs w:val="21"/>
                <w:highlight w:val="none"/>
                <w:vertAlign w:val="subscript"/>
              </w:rPr>
              <w:t>2.5</w:t>
            </w:r>
            <w:r>
              <w:rPr>
                <w:rFonts w:hint="eastAsia" w:asciiTheme="minorEastAsia" w:hAnsiTheme="minorEastAsia" w:eastAsiaTheme="minorEastAsia" w:cstheme="minorEastAsia"/>
                <w:color w:val="auto"/>
                <w:kern w:val="0"/>
                <w:sz w:val="21"/>
                <w:szCs w:val="21"/>
                <w:highlight w:val="none"/>
              </w:rPr>
              <w:t>分析仪</w:t>
            </w:r>
          </w:p>
        </w:tc>
        <w:tc>
          <w:tcPr>
            <w:tcW w:w="1147"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Thermo Fisher</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5</w:t>
            </w:r>
            <w:r>
              <w:rPr>
                <w:rFonts w:hint="eastAsia" w:asciiTheme="minorEastAsia" w:hAnsiTheme="minorEastAsia" w:eastAsiaTheme="minorEastAsia" w:cstheme="minorEastAsia"/>
                <w:color w:val="auto"/>
                <w:kern w:val="0"/>
                <w:sz w:val="21"/>
                <w:szCs w:val="21"/>
                <w:highlight w:val="none"/>
                <w:lang w:val="en-US" w:eastAsia="zh-CN"/>
              </w:rPr>
              <w:t>014i</w:t>
            </w:r>
          </w:p>
        </w:tc>
        <w:tc>
          <w:tcPr>
            <w:tcW w:w="70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201</w:t>
            </w:r>
            <w:r>
              <w:rPr>
                <w:rFonts w:hint="eastAsia" w:asciiTheme="minorEastAsia" w:hAnsiTheme="minorEastAsia" w:eastAsiaTheme="minorEastAsia" w:cstheme="minorEastAsia"/>
                <w:color w:val="auto"/>
                <w:kern w:val="0"/>
                <w:sz w:val="21"/>
                <w:szCs w:val="21"/>
                <w:highlight w:val="none"/>
                <w:lang w:val="en-US" w:eastAsia="zh-CN"/>
              </w:rPr>
              <w:t>8年</w:t>
            </w:r>
          </w:p>
        </w:tc>
        <w:tc>
          <w:tcPr>
            <w:tcW w:w="913"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正常使用</w:t>
            </w:r>
          </w:p>
        </w:tc>
      </w:tr>
      <w:tr>
        <w:tblPrEx>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tblCellMar>
            <w:top w:w="0" w:type="dxa"/>
            <w:left w:w="108" w:type="dxa"/>
            <w:bottom w:w="0" w:type="dxa"/>
            <w:right w:w="108" w:type="dxa"/>
          </w:tblCellMar>
        </w:tblPrEx>
        <w:trPr>
          <w:cantSplit/>
          <w:trHeight w:val="283" w:hRule="atLeast"/>
          <w:jc w:val="center"/>
        </w:trPr>
        <w:tc>
          <w:tcPr>
            <w:tcW w:w="446" w:type="pct"/>
            <w:vMerge w:val="continue"/>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670" w:type="pct"/>
            <w:vMerge w:val="continue"/>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111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零气发生器</w:t>
            </w:r>
          </w:p>
        </w:tc>
        <w:tc>
          <w:tcPr>
            <w:tcW w:w="1147"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Thermo Fisher</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111</w:t>
            </w:r>
          </w:p>
        </w:tc>
        <w:tc>
          <w:tcPr>
            <w:tcW w:w="70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201</w:t>
            </w:r>
            <w:r>
              <w:rPr>
                <w:rFonts w:hint="eastAsia" w:asciiTheme="minorEastAsia" w:hAnsiTheme="minorEastAsia" w:eastAsiaTheme="minorEastAsia" w:cstheme="minorEastAsia"/>
                <w:color w:val="auto"/>
                <w:kern w:val="0"/>
                <w:sz w:val="21"/>
                <w:szCs w:val="21"/>
                <w:highlight w:val="none"/>
                <w:lang w:val="en-US" w:eastAsia="zh-CN"/>
              </w:rPr>
              <w:t>8年</w:t>
            </w:r>
          </w:p>
        </w:tc>
        <w:tc>
          <w:tcPr>
            <w:tcW w:w="913"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正常使用</w:t>
            </w:r>
          </w:p>
        </w:tc>
      </w:tr>
      <w:tr>
        <w:tblPrEx>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tblCellMar>
            <w:top w:w="0" w:type="dxa"/>
            <w:left w:w="108" w:type="dxa"/>
            <w:bottom w:w="0" w:type="dxa"/>
            <w:right w:w="108" w:type="dxa"/>
          </w:tblCellMar>
        </w:tblPrEx>
        <w:trPr>
          <w:trHeight w:val="283" w:hRule="atLeast"/>
          <w:jc w:val="center"/>
        </w:trPr>
        <w:tc>
          <w:tcPr>
            <w:tcW w:w="446" w:type="pct"/>
            <w:vMerge w:val="continue"/>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670" w:type="pct"/>
            <w:vMerge w:val="continue"/>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111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多功能校准仪</w:t>
            </w:r>
          </w:p>
        </w:tc>
        <w:tc>
          <w:tcPr>
            <w:tcW w:w="1147"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Thermo Fisher</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146i</w:t>
            </w:r>
          </w:p>
        </w:tc>
        <w:tc>
          <w:tcPr>
            <w:tcW w:w="70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201</w:t>
            </w:r>
            <w:r>
              <w:rPr>
                <w:rFonts w:hint="eastAsia" w:asciiTheme="minorEastAsia" w:hAnsiTheme="minorEastAsia" w:eastAsiaTheme="minorEastAsia" w:cstheme="minorEastAsia"/>
                <w:color w:val="auto"/>
                <w:kern w:val="0"/>
                <w:sz w:val="21"/>
                <w:szCs w:val="21"/>
                <w:highlight w:val="none"/>
                <w:lang w:val="en-US" w:eastAsia="zh-CN"/>
              </w:rPr>
              <w:t>8年</w:t>
            </w:r>
          </w:p>
        </w:tc>
        <w:tc>
          <w:tcPr>
            <w:tcW w:w="913"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正常使用</w:t>
            </w:r>
          </w:p>
        </w:tc>
      </w:tr>
      <w:tr>
        <w:tblPrEx>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tblCellMar>
            <w:top w:w="0" w:type="dxa"/>
            <w:left w:w="108" w:type="dxa"/>
            <w:bottom w:w="0" w:type="dxa"/>
            <w:right w:w="108" w:type="dxa"/>
          </w:tblCellMar>
        </w:tblPrEx>
        <w:trPr>
          <w:trHeight w:val="283" w:hRule="atLeast"/>
          <w:jc w:val="center"/>
        </w:trPr>
        <w:tc>
          <w:tcPr>
            <w:tcW w:w="446" w:type="pct"/>
            <w:vMerge w:val="continue"/>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670" w:type="pct"/>
            <w:vMerge w:val="continue"/>
            <w:tcBorders>
              <w:left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highlight w:val="none"/>
              </w:rPr>
            </w:pPr>
          </w:p>
        </w:tc>
        <w:tc>
          <w:tcPr>
            <w:tcW w:w="111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数据采集系统</w:t>
            </w:r>
          </w:p>
        </w:tc>
        <w:tc>
          <w:tcPr>
            <w:tcW w:w="1147"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研祥</w:t>
            </w:r>
            <w:r>
              <w:rPr>
                <w:rFonts w:hint="eastAsia" w:asciiTheme="minorEastAsia" w:hAnsiTheme="minorEastAsia" w:eastAsiaTheme="minorEastAsia" w:cstheme="minorEastAsia"/>
                <w:color w:val="auto"/>
                <w:kern w:val="0"/>
                <w:sz w:val="21"/>
                <w:szCs w:val="21"/>
                <w:highlight w:val="none"/>
                <w:lang w:val="en-US" w:eastAsia="zh-CN"/>
              </w:rPr>
              <w:t>6</w:t>
            </w:r>
            <w:r>
              <w:rPr>
                <w:rFonts w:hint="eastAsia" w:asciiTheme="minorEastAsia" w:hAnsiTheme="minorEastAsia" w:eastAsiaTheme="minorEastAsia" w:cstheme="minorEastAsia"/>
                <w:color w:val="auto"/>
                <w:kern w:val="0"/>
                <w:sz w:val="21"/>
                <w:szCs w:val="21"/>
                <w:highlight w:val="none"/>
              </w:rPr>
              <w:t>10</w:t>
            </w:r>
          </w:p>
        </w:tc>
        <w:tc>
          <w:tcPr>
            <w:tcW w:w="706"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201</w:t>
            </w:r>
            <w:r>
              <w:rPr>
                <w:rFonts w:hint="eastAsia" w:asciiTheme="minorEastAsia" w:hAnsiTheme="minorEastAsia" w:eastAsiaTheme="minorEastAsia" w:cstheme="minorEastAsia"/>
                <w:color w:val="auto"/>
                <w:kern w:val="0"/>
                <w:sz w:val="21"/>
                <w:szCs w:val="21"/>
                <w:highlight w:val="none"/>
                <w:lang w:val="en-US" w:eastAsia="zh-CN"/>
              </w:rPr>
              <w:t>8年</w:t>
            </w:r>
          </w:p>
        </w:tc>
        <w:tc>
          <w:tcPr>
            <w:tcW w:w="913" w:type="pct"/>
            <w:tcBorders>
              <w:top w:val="single" w:color="auto" w:sz="8" w:space="0"/>
              <w:left w:val="single" w:color="auto" w:sz="8" w:space="0"/>
              <w:bottom w:val="single" w:color="auto" w:sz="8" w:space="0"/>
              <w:right w:val="single" w:color="auto" w:sz="8"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正常使用</w:t>
            </w:r>
          </w:p>
        </w:tc>
      </w:tr>
    </w:tbl>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lang w:val="en-US" w:eastAsia="zh-CN"/>
        </w:rPr>
      </w:pPr>
      <w:r>
        <w:rPr>
          <w:rFonts w:hint="eastAsia" w:asciiTheme="minorEastAsia" w:hAnsiTheme="minorEastAsia" w:eastAsiaTheme="minorEastAsia" w:cstheme="minorEastAsia"/>
          <w:b/>
          <w:bCs/>
          <w:color w:val="auto"/>
          <w:spacing w:val="2"/>
          <w:szCs w:val="21"/>
          <w:highlight w:val="none"/>
          <w:u w:val="none"/>
          <w:lang w:val="en-US" w:eastAsia="zh-CN"/>
        </w:rPr>
        <w:t>2.2总体运维要求</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有完善的管理制度及技术人员培训制度，指定项目负责人，成交后在常州市设立固定的办公场所，保证在常州市有2名以上(含2名)空气自动站维护技术人员与1辆运维专车；对于站点出现的故障，应4小时内赶到现场，48小时内解决故障。48小时内解决不了的，应向采购人报备，经同意后返回维修中心进行维修。</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2.配备日常运行管理过程中涉及的常用工具、校准设备等。如流量计、温度计、气压计等。</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3.耗材备件</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供应商须在常州市服务点配备充足的与本项目同型号的主要仪器备件常用的耗材备件，如仪器设备校准使用的标准气体、过滤膜、纸带、滤芯、泵维护包等。耗材、备件的使用和管理应有相应的记录备查。由于缺少相应的耗材、备件，导致仪器不能正常使用、数据缺失的，采购人按照空气站管理办法扣除一定的费用，直至解除合同。</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4.标准物质的使用</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移动式车载大气自动监测系统校准维护的标准气体必须为国家二级以上有证标气。新购标准气体成交供应商必须做验证实验，形成验证报告，另外，在用标准气体当钢瓶压力低于500PSIG时，标准需要进行重新验证，当钢瓶压力低于150PSIG(1.0MPa)时,停止使用。标准气体必须在有效期内使用。</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5.工作计划的制定</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成交供应商应及时制定运维计划，并严格按计划执行，若有变更须及时通知采购人。运维结束提供运维年度总结报告。</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6.财产保护和数据保密</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（1）委托运行管理及维修的全部资产（包括全部产权和建筑物、设备及配套设施）属采购人。未经采购人同意，成交供应商不得以任何方式对采购人各类财产进行出售、抵押、转移及调换。</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（2）在委托管理期间，成交供应商应对系统状况和数据严格保密。未经采购人同意，成交供应商不得利用本项目的所有资料对外开展技术交流、业务联系、数据交换等。</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注：成交供应商违反上述条款中任何一条要求，采购人有权直接终止合同。</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7.运维管理内容</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根据移动式车载大气自动监测系统的托管目标，要求托管过程中完成以下几项工作：</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（1）1辆移动式车载大气自动监测系统的日常运行维护；</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（2）1辆移动式车载大气自动监测系统的设备维护及维修；</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 xml:space="preserve">（3）1辆移动式车载大气自动监测系统的系统质量管理； </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（4）大型活动或会议的环境空气质量保障工作；</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（5）突发性环境应急事故的辅助分析工作；</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lang w:val="en-US" w:eastAsia="zh-CN"/>
        </w:rPr>
      </w:pPr>
      <w:r>
        <w:rPr>
          <w:rFonts w:hint="eastAsia" w:asciiTheme="minorEastAsia" w:hAnsiTheme="minorEastAsia" w:eastAsiaTheme="minorEastAsia" w:cstheme="minorEastAsia"/>
          <w:b/>
          <w:bCs/>
          <w:color w:val="auto"/>
          <w:spacing w:val="2"/>
          <w:szCs w:val="21"/>
          <w:highlight w:val="none"/>
          <w:u w:val="none"/>
          <w:lang w:val="en-US" w:eastAsia="zh-CN"/>
        </w:rPr>
        <w:t>2.3具体运维要求</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1.一般要求</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（1）保持车辆内部环境清洁，布置整齐，无监测无关物品；</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（2）保证仪器运行环境，定期检查UPS及空调使用情况；</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（3）定期检查固定设备的紧固件，如有松动应及时解决；</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（4）定期检查车辆的防水功能是否完善；</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（5）定期检查排风排气装置工作是否正常；</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（6）定期检查车辆的灭火器，如失效应及时更换；</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（7）定期检查采样和排气管路是否有漏气或堵塞现象；</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2.具体要求</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（1）每周工作</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1）成交供应商每周至少巡检移动式车载大气自动监测系统一次，每次维护后做好运行维护记录。每周运维内容涵盖一般要求的所有项目。</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2）此外，每周对所有的气态仪器进行零点、标点检查，根据实际情况进行校准。每周检查监测仪器的采样入口与采样支路管线结合部之间安装的过滤膜的污染情况，若发现过滤膜明显污染应及时更换。</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（2）每月工作</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1）清洗各仪器采样头、切割器，并检查切割器O型密封圈等部件；</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2）检查各分析仪器的流量，必要时作流量校准。</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（3）每季度工作</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1）对气态分析仪进行多点线性检查；</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2）采用49ips对各子站的臭氧仪器进行溯源；</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3）对动态稀释气体校准仪流量进行多点检查，必要时校准，并开具校准报告。</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（4）每半年工作</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1）对颗粒物分析仪检测湿度和温度传感器、检查动态加热装置是否正常工作；</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2）采样总管及采样风机清洗。</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（5）每年工作</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1）采用臭氧标准源对子站校准设备进行传递；</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2）对氮氧化物分析仪钼炉转化率进行检查；</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3）对各气态仪器进行准确度检查；</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4）流量计、气压计、温度计等设备送计量部门检定，并保存好检定报告；</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5）监测仪器系统的性能检查，包括线性、零点漂移、量程漂移、精密度、准确度、平均无故障连续运行时间。性能检查应满足以下要求：1、光度法的重复性、漂移实验、直线性实验方法符合国家有关空气自动分析仪技术要求的规定，实验结果符合国家有关空气自动分析仪技术要求的规定。2、对于用β射线法的颗粒物监测仪器，每3个月至少进行一次流量、温度和压力校准。校准后使用内置标准膜或外置标准膜进行标定和校正。</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（6）不定期工作</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根据实际需要更换零气源活性炭和氧化剂，对零气性能进行检查。</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（7）其他</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1）分析仪有以下情况需进行校准和再校准：移动位置时；进行可能影响校准结果的维修或维护后；分析仪暂停工作一段时间后；有迹象表明分析仪工作不正常或校准结果出现变化；</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2）仪器大修后（更换设备测试关键部件），应按顺序进行漂移实验（零点漂移、量程漂移）、重复性及准确度实验、多点线性实验。</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（8）技术规范</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default"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成交供应商的所有运维工作必须符合：《环境空气颗粒物(PM10和PM2.5)连续自动监测系统运行和质控技术规范(HJ 817-2018)》及《环境空气气态污染物（SO2、NO2、O3、CO）连续自动监测系统运行和质控技术规范(HJ 818-2018)》的要求，如有不一致的地方，以技术规范为准。</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三、技术规范</w:t>
      </w:r>
    </w:p>
    <w:p>
      <w:pPr>
        <w:pStyle w:val="4"/>
        <w:keepNext w:val="0"/>
        <w:keepLines w:val="0"/>
        <w:pageBreakBefore w:val="0"/>
        <w:widowControl w:val="0"/>
        <w:kinsoku/>
        <w:wordWrap/>
        <w:overflowPunct w:val="0"/>
        <w:topLinePunct w:val="0"/>
        <w:bidi w:val="0"/>
        <w:snapToGrid/>
        <w:spacing w:line="360" w:lineRule="exact"/>
        <w:ind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按国家和行业现行的法律、法规及验收规范执行。</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四</w:t>
      </w:r>
      <w:r>
        <w:rPr>
          <w:rFonts w:hint="eastAsia" w:asciiTheme="minorEastAsia" w:hAnsiTheme="minorEastAsia" w:eastAsiaTheme="minorEastAsia" w:cstheme="minorEastAsia"/>
          <w:b/>
          <w:color w:val="auto"/>
          <w:szCs w:val="21"/>
          <w:highlight w:val="none"/>
          <w:u w:val="none"/>
        </w:rPr>
        <w:t>、报价方式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本项目</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报价为</w:t>
      </w:r>
      <w:r>
        <w:rPr>
          <w:rFonts w:hint="eastAsia" w:asciiTheme="minorEastAsia" w:hAnsiTheme="minorEastAsia" w:eastAsiaTheme="minorEastAsia" w:cstheme="minorEastAsia"/>
          <w:b/>
          <w:bCs/>
          <w:color w:val="auto"/>
          <w:szCs w:val="21"/>
          <w:highlight w:val="none"/>
          <w:u w:val="none"/>
        </w:rPr>
        <w:t>固定总价</w:t>
      </w:r>
      <w:r>
        <w:rPr>
          <w:rFonts w:hint="eastAsia" w:asciiTheme="minorEastAsia" w:hAnsiTheme="minorEastAsia" w:eastAsiaTheme="minorEastAsia" w:cstheme="minorEastAsia"/>
          <w:color w:val="auto"/>
          <w:szCs w:val="21"/>
          <w:highlight w:val="none"/>
          <w:u w:val="none"/>
        </w:rPr>
        <w:t>，</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总价应包括</w:t>
      </w:r>
      <w:r>
        <w:rPr>
          <w:rFonts w:hint="eastAsia" w:asciiTheme="minorEastAsia" w:hAnsiTheme="minorEastAsia" w:eastAsiaTheme="minorEastAsia" w:cstheme="minorEastAsia"/>
          <w:color w:val="auto"/>
          <w:szCs w:val="21"/>
          <w:highlight w:val="none"/>
          <w:u w:val="none"/>
          <w:lang w:eastAsia="zh-CN"/>
        </w:rPr>
        <w:t>竞争性谈判</w:t>
      </w:r>
      <w:r>
        <w:rPr>
          <w:rFonts w:hint="eastAsia" w:asciiTheme="minorEastAsia" w:hAnsiTheme="minorEastAsia" w:eastAsiaTheme="minorEastAsia" w:cstheme="minorEastAsia"/>
          <w:color w:val="auto"/>
          <w:szCs w:val="21"/>
          <w:highlight w:val="none"/>
          <w:u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rPr>
        <w:t>报价货币为人民币，评审时以人民币为准。</w:t>
      </w:r>
      <w:r>
        <w:rPr>
          <w:rFonts w:hint="eastAsia" w:asciiTheme="minorEastAsia" w:hAnsiTheme="minorEastAsia" w:eastAsiaTheme="minorEastAsia" w:cstheme="minorEastAsia"/>
          <w:color w:val="auto"/>
          <w:szCs w:val="21"/>
          <w:highlight w:val="none"/>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五</w:t>
      </w:r>
      <w:r>
        <w:rPr>
          <w:rFonts w:hint="eastAsia" w:asciiTheme="minorEastAsia" w:hAnsiTheme="minorEastAsia" w:eastAsiaTheme="minorEastAsia" w:cstheme="minorEastAsia"/>
          <w:b/>
          <w:color w:val="auto"/>
          <w:szCs w:val="21"/>
          <w:highlight w:val="none"/>
          <w:u w:val="none"/>
          <w:lang w:eastAsia="zh-CN"/>
        </w:rPr>
        <w:t>、</w:t>
      </w:r>
      <w:r>
        <w:rPr>
          <w:rFonts w:hint="eastAsia" w:asciiTheme="minorEastAsia" w:hAnsiTheme="minorEastAsia" w:eastAsiaTheme="minorEastAsia" w:cstheme="minorEastAsia"/>
          <w:b/>
          <w:color w:val="auto"/>
          <w:szCs w:val="21"/>
          <w:highlight w:val="none"/>
          <w:u w:val="none"/>
        </w:rPr>
        <w:t>服务期限</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一年。</w:t>
      </w:r>
    </w:p>
    <w:p>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六</w:t>
      </w:r>
      <w:r>
        <w:rPr>
          <w:rFonts w:hint="eastAsia" w:asciiTheme="minorEastAsia" w:hAnsiTheme="minorEastAsia" w:eastAsiaTheme="minorEastAsia" w:cstheme="minorEastAsia"/>
          <w:b/>
          <w:color w:val="auto"/>
          <w:szCs w:val="21"/>
          <w:highlight w:val="none"/>
          <w:u w:val="none"/>
        </w:rPr>
        <w:t>、付款方式</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合同签订后支付合同价的50%，服务期结束前15个工作日内，提交服务总结报告，审核通过后支付尾款。</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hint="eastAsia" w:asciiTheme="minorEastAsia" w:hAnsiTheme="minorEastAsia" w:eastAsiaTheme="minorEastAsia" w:cstheme="minorEastAsia"/>
          <w:b/>
          <w:color w:val="auto"/>
          <w:szCs w:val="21"/>
          <w:highlight w:val="none"/>
          <w:u w:val="none"/>
        </w:rPr>
      </w:pP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hint="eastAsia" w:asciiTheme="minorEastAsia" w:hAnsiTheme="minorEastAsia" w:eastAsiaTheme="minorEastAsia" w:cstheme="minorEastAsia"/>
          <w:b/>
          <w:color w:val="auto"/>
          <w:szCs w:val="21"/>
          <w:highlight w:val="none"/>
          <w:u w:val="none"/>
        </w:rPr>
      </w:pP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p>
    <w:p>
      <w:pPr>
        <w:pStyle w:val="5"/>
        <w:rPr>
          <w:rFonts w:hint="eastAsia"/>
          <w:color w:val="auto"/>
          <w:highlight w:val="none"/>
        </w:rPr>
        <w:sectPr>
          <w:footerReference r:id="rId7" w:type="default"/>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6"/>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pPr>
        <w:pStyle w:val="6"/>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pPr>
        <w:pStyle w:val="4"/>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w:t>
      </w:r>
      <w:r>
        <w:rPr>
          <w:rFonts w:hint="eastAsia" w:cs="宋体" w:asciiTheme="minorEastAsia" w:hAnsiTheme="minorEastAsia"/>
          <w:color w:val="auto"/>
          <w:sz w:val="21"/>
          <w:szCs w:val="21"/>
          <w:highlight w:val="none"/>
          <w:lang w:eastAsia="zh-CN"/>
        </w:rPr>
        <w:t>《中华人民共和国民法典》</w:t>
      </w:r>
      <w:r>
        <w:rPr>
          <w:rFonts w:hint="eastAsia" w:cs="宋体" w:asciiTheme="minorEastAsia" w:hAnsiTheme="minorEastAsia"/>
          <w:color w:val="auto"/>
          <w:sz w:val="21"/>
          <w:szCs w:val="21"/>
          <w:highlight w:val="none"/>
        </w:rPr>
        <w:t>以及有关法律、法规的规定，经协商一致，订立本合同，以便共同遵守。</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pPr>
        <w:widowControl/>
        <w:adjustRightInd w:val="0"/>
        <w:spacing w:line="360" w:lineRule="exact"/>
        <w:ind w:firstLine="424" w:firstLineChars="202"/>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乙方根据甲方需求提供下列服务：         ，</w:t>
      </w:r>
      <w:r>
        <w:rPr>
          <w:rFonts w:hint="eastAsia" w:ascii="宋体" w:hAnsi="宋体"/>
          <w:color w:val="auto"/>
          <w:szCs w:val="21"/>
          <w:highlight w:val="none"/>
        </w:rPr>
        <w:t>系指根据合同规定乙方须承担与服务有关的所有辅助服务</w:t>
      </w:r>
      <w:r>
        <w:rPr>
          <w:rFonts w:hint="eastAsia" w:cs="宋体" w:asciiTheme="minorEastAsia" w:hAnsiTheme="minorEastAsia" w:eastAsiaTheme="minorEastAsia"/>
          <w:color w:val="auto"/>
          <w:kern w:val="0"/>
          <w:szCs w:val="21"/>
          <w:highlight w:val="none"/>
          <w:lang w:val="zh-CN"/>
        </w:rPr>
        <w:t>。</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pPr>
        <w:pStyle w:val="6"/>
        <w:spacing w:line="360" w:lineRule="exact"/>
        <w:ind w:firstLine="426" w:firstLineChars="202"/>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本合同总价包括</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w:t>
      </w:r>
      <w:r>
        <w:rPr>
          <w:rFonts w:hint="eastAsia" w:cs="宋体" w:asciiTheme="minorEastAsia" w:hAnsiTheme="minorEastAsia"/>
          <w:color w:val="auto"/>
          <w:sz w:val="21"/>
          <w:szCs w:val="21"/>
          <w:highlight w:val="none"/>
          <w:lang w:eastAsia="zh-CN"/>
        </w:rPr>
        <w:t>竞争性谈判</w:t>
      </w:r>
      <w:r>
        <w:rPr>
          <w:rFonts w:hint="eastAsia" w:cs="宋体" w:asciiTheme="minorEastAsia" w:hAnsiTheme="minorEastAsia"/>
          <w:color w:val="auto"/>
          <w:sz w:val="21"/>
          <w:szCs w:val="21"/>
          <w:highlight w:val="none"/>
        </w:rPr>
        <w:t>文件（编号：   ）          （2）乙方提供的</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 xml:space="preserve">响应文件； </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 xml:space="preserve">）成交通知书；        </w:t>
      </w:r>
      <w:r>
        <w:rPr>
          <w:rFonts w:cs="宋体" w:asciiTheme="minorEastAsia" w:hAnsiTheme="minorEastAsia"/>
          <w:color w:val="auto"/>
          <w:sz w:val="21"/>
          <w:szCs w:val="21"/>
          <w:highlight w:val="none"/>
        </w:rPr>
        <w:t xml:space="preserve">                </w:t>
      </w: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合同款结算</w:t>
      </w:r>
      <w:r>
        <w:rPr>
          <w:rFonts w:asciiTheme="minorEastAsia" w:hAnsiTheme="minorEastAsia" w:eastAsiaTheme="minorEastAsia"/>
          <w:b/>
          <w:color w:val="auto"/>
          <w:szCs w:val="21"/>
          <w:highlight w:val="none"/>
        </w:rPr>
        <w:t>及</w:t>
      </w:r>
      <w:r>
        <w:rPr>
          <w:rFonts w:hint="eastAsia" w:asciiTheme="minorEastAsia" w:hAnsiTheme="minorEastAsia" w:eastAsiaTheme="minorEastAsia"/>
          <w:b/>
          <w:color w:val="auto"/>
          <w:szCs w:val="21"/>
          <w:highlight w:val="none"/>
        </w:rPr>
        <w:t>支付</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1.本合同项下所有款项均以人民币支付。</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2.本合同项下的采购资金由甲方自行支付，乙方向甲方开具发票。</w:t>
      </w:r>
    </w:p>
    <w:p>
      <w:pPr>
        <w:adjustRightInd w:val="0"/>
        <w:snapToGrid w:val="0"/>
        <w:spacing w:line="360" w:lineRule="exact"/>
        <w:ind w:firstLine="424" w:firstLineChars="202"/>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3.付款方式：</w:t>
      </w:r>
      <w:r>
        <w:rPr>
          <w:rFonts w:hint="eastAsia" w:asciiTheme="minorEastAsia" w:hAnsiTheme="minorEastAsia" w:eastAsiaTheme="minorEastAsia"/>
          <w:color w:val="auto"/>
          <w:szCs w:val="21"/>
          <w:highlight w:val="none"/>
          <w:lang w:eastAsia="zh-CN"/>
        </w:rPr>
        <w:t>合同签订后支付合同价的50%，服务期结束前15个工作日内，提交服务总结报告，审核通过后支付尾款。</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违约责任</w:t>
      </w:r>
    </w:p>
    <w:p>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如乙方不能</w:t>
      </w:r>
      <w:r>
        <w:rPr>
          <w:rFonts w:hint="eastAsia" w:asciiTheme="minorEastAsia" w:hAnsiTheme="minorEastAsia" w:eastAsiaTheme="minorEastAsia"/>
          <w:color w:val="auto"/>
          <w:szCs w:val="21"/>
          <w:highlight w:val="none"/>
        </w:rPr>
        <w:t>按约定进行</w:t>
      </w:r>
      <w:r>
        <w:rPr>
          <w:rFonts w:asciiTheme="minorEastAsia" w:hAnsiTheme="minorEastAsia" w:eastAsiaTheme="minorEastAsia"/>
          <w:color w:val="auto"/>
          <w:szCs w:val="21"/>
          <w:highlight w:val="none"/>
        </w:rPr>
        <w:t>服务的</w:t>
      </w: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highlight w:val="none"/>
        </w:rPr>
        <w:t>甲方有权解除合同，</w:t>
      </w:r>
      <w:r>
        <w:rPr>
          <w:rFonts w:asciiTheme="minorEastAsia" w:hAnsiTheme="minorEastAsia" w:eastAsiaTheme="minorEastAsia"/>
          <w:color w:val="auto"/>
          <w:highlight w:val="none"/>
        </w:rPr>
        <w:t>同时有权要求乙方按照</w:t>
      </w:r>
      <w:r>
        <w:rPr>
          <w:rFonts w:hint="eastAsia" w:asciiTheme="minorEastAsia" w:hAnsiTheme="minorEastAsia" w:eastAsiaTheme="minorEastAsia"/>
          <w:color w:val="auto"/>
          <w:highlight w:val="none"/>
        </w:rPr>
        <w:t>合同总价</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的</w:t>
      </w:r>
      <w:r>
        <w:rPr>
          <w:rFonts w:asciiTheme="minorEastAsia" w:hAnsiTheme="minorEastAsia" w:eastAsiaTheme="minorEastAsia"/>
          <w:color w:val="auto"/>
          <w:highlight w:val="none"/>
        </w:rPr>
        <w:t>标准支付</w:t>
      </w:r>
      <w:r>
        <w:rPr>
          <w:rFonts w:hint="eastAsia" w:asciiTheme="minorEastAsia" w:hAnsiTheme="minorEastAsia" w:eastAsiaTheme="minorEastAsia"/>
          <w:color w:val="auto"/>
          <w:highlight w:val="none"/>
        </w:rPr>
        <w:t>违约金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解除合同的通知自</w:t>
      </w:r>
      <w:r>
        <w:rPr>
          <w:rFonts w:asciiTheme="minorEastAsia" w:hAnsiTheme="minorEastAsia" w:eastAsiaTheme="minorEastAsia"/>
          <w:color w:val="auto"/>
          <w:highlight w:val="none"/>
        </w:rPr>
        <w:t>发出之日</w:t>
      </w:r>
      <w:r>
        <w:rPr>
          <w:rFonts w:hint="eastAsia" w:asciiTheme="minorEastAsia" w:hAnsiTheme="minorEastAsia" w:eastAsiaTheme="minorEastAsia"/>
          <w:color w:val="auto"/>
          <w:highlight w:val="none"/>
        </w:rPr>
        <w:t>生效。</w:t>
      </w:r>
    </w:p>
    <w:p>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2.</w:t>
      </w:r>
      <w:r>
        <w:rPr>
          <w:rFonts w:hint="eastAsia" w:asciiTheme="minorEastAsia" w:hAnsiTheme="minorEastAsia" w:eastAsiaTheme="minorEastAsia"/>
          <w:color w:val="auto"/>
          <w:highlight w:val="none"/>
        </w:rPr>
        <w:t>甲方未按合同规定的期限向乙方支付货款的，每逾期</w:t>
      </w: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天甲方向乙方偿付欠款总额的</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‰滞纳金，但累计滞纳金总额不超过欠款总额的</w:t>
      </w:r>
      <w:r>
        <w:rPr>
          <w:rFonts w:asciiTheme="minorEastAsia" w:hAnsiTheme="minorEastAsia" w:eastAsiaTheme="minorEastAsia"/>
          <w:color w:val="auto"/>
          <w:highlight w:val="none"/>
        </w:rPr>
        <w:t xml:space="preserve">5% </w:t>
      </w:r>
      <w:r>
        <w:rPr>
          <w:rFonts w:hint="eastAsia" w:asciiTheme="minorEastAsia" w:hAnsiTheme="minorEastAsia" w:eastAsiaTheme="minorEastAsia"/>
          <w:color w:val="auto"/>
          <w:highlight w:val="none"/>
        </w:rPr>
        <w:t>。</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3</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乙方未按本合同的规定和“服务承诺”提供伴随服务的，</w:t>
      </w:r>
      <w:r>
        <w:rPr>
          <w:rFonts w:asciiTheme="minorEastAsia" w:hAnsiTheme="minorEastAsia" w:eastAsiaTheme="minorEastAsia"/>
          <w:color w:val="auto"/>
          <w:highlight w:val="none"/>
        </w:rPr>
        <w:t>甲方有权提前解除本合同，</w:t>
      </w:r>
      <w:r>
        <w:rPr>
          <w:rFonts w:hint="eastAsia" w:asciiTheme="minorEastAsia" w:hAnsiTheme="minorEastAsia" w:eastAsiaTheme="minorEastAsia"/>
          <w:color w:val="auto"/>
          <w:highlight w:val="none"/>
        </w:rPr>
        <w:t>同时</w:t>
      </w:r>
      <w:r>
        <w:rPr>
          <w:rFonts w:asciiTheme="minorEastAsia" w:hAnsiTheme="minorEastAsia" w:eastAsiaTheme="minorEastAsia"/>
          <w:color w:val="auto"/>
          <w:highlight w:val="none"/>
        </w:rPr>
        <w:t>乙方</w:t>
      </w:r>
      <w:r>
        <w:rPr>
          <w:rFonts w:hint="eastAsia" w:asciiTheme="minorEastAsia" w:hAnsiTheme="minorEastAsia" w:eastAsiaTheme="minorEastAsia"/>
          <w:color w:val="auto"/>
          <w:highlight w:val="none"/>
        </w:rPr>
        <w:t>应按合同总价款的</w:t>
      </w:r>
      <w:r>
        <w:rPr>
          <w:rFonts w:asciiTheme="minorEastAsia" w:hAnsiTheme="minorEastAsia" w:eastAsiaTheme="minorEastAsia"/>
          <w:color w:val="auto"/>
          <w:highlight w:val="none"/>
        </w:rPr>
        <w:t>5 %</w:t>
      </w:r>
      <w:r>
        <w:rPr>
          <w:rFonts w:hint="eastAsia" w:asciiTheme="minorEastAsia" w:hAnsiTheme="minorEastAsia" w:eastAsiaTheme="minorEastAsia"/>
          <w:color w:val="auto"/>
          <w:highlight w:val="none"/>
        </w:rPr>
        <w:t>向甲方承担违约责任。</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4</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5</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w:t>
      </w:r>
      <w:r>
        <w:rPr>
          <w:rFonts w:hint="eastAsia" w:asciiTheme="minorEastAsia" w:hAnsiTheme="minorEastAsia" w:eastAsiaTheme="minorEastAsia"/>
          <w:color w:val="auto"/>
          <w:highlight w:val="none"/>
          <w:lang w:eastAsia="zh-CN"/>
        </w:rPr>
        <w:t>承诺</w:t>
      </w:r>
      <w:r>
        <w:rPr>
          <w:rFonts w:hint="eastAsia" w:asciiTheme="minorEastAsia" w:hAnsiTheme="minorEastAsia" w:eastAsiaTheme="minorEastAsia"/>
          <w:color w:val="auto"/>
          <w:highlight w:val="none"/>
        </w:rPr>
        <w:t>属虚假承诺，或是由于乙方的过错造成合同无法继续履行的，应向甲方支付不少于合同总价</w:t>
      </w:r>
      <w:r>
        <w:rPr>
          <w:rFonts w:asciiTheme="minorEastAsia" w:hAnsiTheme="minorEastAsia" w:eastAsiaTheme="minorEastAsia"/>
          <w:color w:val="auto"/>
          <w:highlight w:val="none"/>
        </w:rPr>
        <w:t>30%违约</w:t>
      </w:r>
      <w:r>
        <w:rPr>
          <w:rFonts w:hint="eastAsia" w:asciiTheme="minorEastAsia" w:hAnsiTheme="minorEastAsia" w:eastAsiaTheme="minorEastAsia"/>
          <w:color w:val="auto"/>
          <w:highlight w:val="none"/>
        </w:rPr>
        <w:t>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若</w:t>
      </w:r>
      <w:r>
        <w:rPr>
          <w:rFonts w:asciiTheme="minorEastAsia" w:hAnsiTheme="minorEastAsia" w:eastAsiaTheme="minorEastAsia"/>
          <w:color w:val="auto"/>
          <w:highlight w:val="none"/>
        </w:rPr>
        <w:t>该违约金</w:t>
      </w:r>
      <w:r>
        <w:rPr>
          <w:rFonts w:hint="eastAsia" w:asciiTheme="minorEastAsia" w:hAnsiTheme="minorEastAsia" w:eastAsiaTheme="minorEastAsia"/>
          <w:color w:val="auto"/>
          <w:highlight w:val="none"/>
        </w:rPr>
        <w:t>不足以</w:t>
      </w:r>
      <w:r>
        <w:rPr>
          <w:rFonts w:asciiTheme="minorEastAsia" w:hAnsiTheme="minorEastAsia" w:eastAsiaTheme="minorEastAsia"/>
          <w:color w:val="auto"/>
          <w:highlight w:val="none"/>
        </w:rPr>
        <w:t>弥补甲方损失，</w:t>
      </w:r>
      <w:r>
        <w:rPr>
          <w:rFonts w:hint="eastAsia" w:asciiTheme="minorEastAsia" w:hAnsiTheme="minorEastAsia" w:eastAsiaTheme="minorEastAsia"/>
          <w:color w:val="auto"/>
          <w:highlight w:val="none"/>
        </w:rPr>
        <w:t>则应当</w:t>
      </w:r>
      <w:r>
        <w:rPr>
          <w:rFonts w:asciiTheme="minorEastAsia" w:hAnsiTheme="minorEastAsia" w:eastAsiaTheme="minorEastAsia"/>
          <w:color w:val="auto"/>
          <w:highlight w:val="none"/>
        </w:rPr>
        <w:t>赔偿甲方所有损失</w:t>
      </w:r>
      <w:r>
        <w:rPr>
          <w:rFonts w:hint="eastAsia" w:asciiTheme="minorEastAsia" w:hAnsiTheme="minorEastAsia" w:eastAsiaTheme="minorEastAsia"/>
          <w:color w:val="auto"/>
          <w:highlight w:val="none"/>
        </w:rPr>
        <w:t>。</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6</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其他未尽事宜，以《</w:t>
      </w:r>
      <w:r>
        <w:rPr>
          <w:rFonts w:hint="eastAsia" w:asciiTheme="minorEastAsia" w:hAnsiTheme="minorEastAsia" w:eastAsiaTheme="minorEastAsia"/>
          <w:color w:val="auto"/>
          <w:highlight w:val="none"/>
          <w:lang w:eastAsia="zh-CN"/>
        </w:rPr>
        <w:t>中华人民共和国民法典</w:t>
      </w:r>
      <w:r>
        <w:rPr>
          <w:rFonts w:hint="eastAsia" w:asciiTheme="minorEastAsia" w:hAnsiTheme="minorEastAsia" w:eastAsiaTheme="minorEastAsia"/>
          <w:color w:val="auto"/>
          <w:highlight w:val="none"/>
        </w:rPr>
        <w:t>》等有关法律法规规定为准，无相关规定的，双方协商解决。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合同的变更和终止</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合同的转让</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第八条 不可抗力</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u w:val="single"/>
        </w:rPr>
        <w:t>个</w:t>
      </w:r>
      <w:r>
        <w:rPr>
          <w:rFonts w:hint="eastAsia" w:asciiTheme="minorEastAsia" w:hAnsiTheme="minorEastAsia" w:eastAsiaTheme="minorEastAsia"/>
          <w:color w:val="auto"/>
          <w:szCs w:val="21"/>
          <w:highlight w:val="none"/>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第九条 争议的解决</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（1）向甲方所在地人民法院提起诉讼；</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第十条 诚实信用 </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乙方应诚实信用，严格按照</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文件要求和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第十一条 合同生效及其他</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2.本合同一式伍份，甲乙双方各执贰份，见证方执壹份存档。</w:t>
      </w:r>
    </w:p>
    <w:p>
      <w:pPr>
        <w:spacing w:line="360" w:lineRule="exact"/>
        <w:ind w:firstLine="422" w:firstLineChars="201"/>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3.本合同应按照中华人民共和国的现行法律进行解释。</w:t>
      </w:r>
    </w:p>
    <w:p>
      <w:pPr>
        <w:spacing w:line="400" w:lineRule="exact"/>
        <w:jc w:val="left"/>
        <w:rPr>
          <w:rFonts w:hint="eastAsia" w:ascii="宋体" w:hAnsi="宋体" w:cs="宋体"/>
          <w:b/>
          <w:bCs/>
          <w:color w:val="auto"/>
          <w:szCs w:val="21"/>
          <w:highlight w:val="none"/>
        </w:rPr>
      </w:pP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pPr>
        <w:spacing w:line="400" w:lineRule="exact"/>
        <w:rPr>
          <w:rFonts w:hint="eastAsia"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spacing w:line="360" w:lineRule="exact"/>
        <w:ind w:firstLine="411" w:firstLineChars="196"/>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本项目采用最低评标价法，谈判响应文件满足竞争性谈判文件全部实质性要求且最终报价最低的供应商为成交供应商。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二、报价在采购预算价格以下的，为有效报价。超出此范围的报价为无效报价。无效报价的响应文件不进行评审，也不得成交。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三、对于小微企业进行价格扣除：对小型和微型企业的价格给予</w:t>
      </w:r>
      <w:r>
        <w:rPr>
          <w:rFonts w:hint="eastAsia" w:ascii="宋体" w:hAnsi="宋体"/>
          <w:color w:val="auto"/>
          <w:szCs w:val="21"/>
          <w:highlight w:val="none"/>
          <w:lang w:val="en-US" w:eastAsia="zh-CN"/>
        </w:rPr>
        <w:t>10</w:t>
      </w:r>
      <w:r>
        <w:rPr>
          <w:rFonts w:hint="eastAsia" w:ascii="宋体" w:hAnsi="宋体"/>
          <w:color w:val="auto"/>
          <w:szCs w:val="21"/>
          <w:highlight w:val="none"/>
        </w:rPr>
        <w:t>%的扣除用扣除后的价格参与评审。属于残疾人福利性单位的视同小微企业，给予价格扣除。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四、报价相同的，由采购人抽签决定成交供应商。</w:t>
      </w:r>
    </w:p>
    <w:p>
      <w:pPr>
        <w:spacing w:line="360" w:lineRule="exact"/>
        <w:ind w:firstLine="411" w:firstLineChars="196"/>
        <w:rPr>
          <w:rFonts w:hint="eastAsia" w:ascii="宋体" w:hAnsi="宋体"/>
          <w:color w:val="auto"/>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6"/>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w:t>
      </w:r>
      <w:r>
        <w:rPr>
          <w:rFonts w:hint="eastAsia" w:ascii="宋体" w:hAnsi="宋体"/>
          <w:color w:val="auto"/>
          <w:szCs w:val="21"/>
          <w:highlight w:val="none"/>
          <w:lang w:eastAsia="zh-CN"/>
        </w:rPr>
        <w:t>供应商</w:t>
      </w:r>
      <w:r>
        <w:rPr>
          <w:rFonts w:hint="eastAsia" w:ascii="宋体" w:hAnsi="宋体"/>
          <w:color w:val="auto"/>
          <w:szCs w:val="21"/>
          <w:highlight w:val="none"/>
        </w:rPr>
        <w:t>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w:t>
      </w:r>
      <w:r>
        <w:rPr>
          <w:rFonts w:hint="eastAsia" w:ascii="宋体" w:hAnsi="宋体"/>
          <w:color w:val="auto"/>
          <w:szCs w:val="21"/>
          <w:highlight w:val="none"/>
          <w:lang w:eastAsia="zh-CN"/>
        </w:rPr>
        <w:t>供应商</w:t>
      </w:r>
      <w:r>
        <w:rPr>
          <w:rFonts w:hint="eastAsia" w:ascii="宋体" w:hAnsi="宋体"/>
          <w:color w:val="auto"/>
          <w:szCs w:val="21"/>
          <w:highlight w:val="none"/>
        </w:rPr>
        <w:t>或招标人恶意串通的；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w:t>
      </w:r>
      <w:r>
        <w:rPr>
          <w:rFonts w:hint="eastAsia" w:ascii="宋体" w:hAnsi="宋体"/>
          <w:color w:val="auto"/>
          <w:szCs w:val="21"/>
          <w:highlight w:val="none"/>
          <w:lang w:eastAsia="zh-CN"/>
        </w:rPr>
        <w:t>供应商</w:t>
      </w:r>
      <w:r>
        <w:rPr>
          <w:rFonts w:hint="eastAsia" w:ascii="宋体" w:hAnsi="宋体"/>
          <w:color w:val="auto"/>
          <w:szCs w:val="21"/>
          <w:highlight w:val="none"/>
        </w:rPr>
        <w:t>透露</w:t>
      </w:r>
      <w:r>
        <w:rPr>
          <w:rFonts w:hint="eastAsia" w:ascii="宋体" w:hAnsi="宋体"/>
          <w:color w:val="auto"/>
          <w:szCs w:val="21"/>
          <w:highlight w:val="none"/>
          <w:lang w:eastAsia="zh-CN"/>
        </w:rPr>
        <w:t>谈判</w:t>
      </w:r>
      <w:r>
        <w:rPr>
          <w:rFonts w:hint="eastAsia" w:ascii="宋体" w:hAnsi="宋体"/>
          <w:color w:val="auto"/>
          <w:szCs w:val="21"/>
          <w:highlight w:val="none"/>
        </w:rPr>
        <w:t>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在采购活动实施过程中，有吵闹、起哄、斗殴等行为，扰乱开标现场或评审现场秩序的，以及在答疑、领取招标文件、办理相关手续过程中扰乱正常办公秩序的；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w:t>
      </w:r>
      <w:r>
        <w:rPr>
          <w:rFonts w:hint="eastAsia" w:ascii="宋体" w:hAnsi="宋体"/>
          <w:color w:val="auto"/>
          <w:szCs w:val="21"/>
          <w:highlight w:val="none"/>
          <w:lang w:eastAsia="zh-CN"/>
        </w:rPr>
        <w:t>供应商</w:t>
      </w:r>
      <w:r>
        <w:rPr>
          <w:rFonts w:hint="eastAsia" w:ascii="宋体" w:hAnsi="宋体"/>
          <w:color w:val="auto"/>
          <w:szCs w:val="21"/>
          <w:highlight w:val="none"/>
        </w:rPr>
        <w:t>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（四）向招标人、采购代理机构工作人员行贿或提供其他不正当利益的；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（五）在招投采购过程中与招标人进行协商谈判的；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16"/>
        <w:spacing w:line="360" w:lineRule="exact"/>
        <w:rPr>
          <w:rFonts w:hint="eastAsia" w:cs="宋体"/>
          <w:b/>
          <w:color w:val="auto"/>
          <w:sz w:val="28"/>
          <w:szCs w:val="28"/>
          <w:highlight w:val="none"/>
        </w:rPr>
      </w:pPr>
    </w:p>
    <w:p>
      <w:pPr>
        <w:pStyle w:val="9"/>
        <w:rPr>
          <w:rFonts w:hint="eastAsia"/>
          <w:color w:val="auto"/>
          <w:highlight w:val="none"/>
        </w:rPr>
        <w:sectPr>
          <w:footerReference r:id="rId10" w:type="default"/>
          <w:pgSz w:w="11906" w:h="16838"/>
          <w:pgMar w:top="1440" w:right="1800" w:bottom="1440" w:left="1800" w:header="851" w:footer="992" w:gutter="0"/>
          <w:pgNumType w:fmt="decimal"/>
          <w:cols w:space="425" w:num="1"/>
          <w:docGrid w:type="lines" w:linePitch="312" w:charSpace="0"/>
        </w:sectPr>
      </w:pPr>
    </w:p>
    <w:p>
      <w:pPr>
        <w:pStyle w:val="16"/>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9"/>
        <w:rPr>
          <w:rFonts w:ascii="宋体" w:hAnsi="宋体" w:cs="宋体"/>
          <w:color w:val="auto"/>
          <w:highlight w:val="none"/>
        </w:rPr>
      </w:pPr>
    </w:p>
    <w:p>
      <w:pPr>
        <w:pStyle w:val="16"/>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6"/>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常州市生态环境局常州经济开发区分局、</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6"/>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文件规定的各项要求，向采购人提供所需服务。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总价包括</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6"/>
        <w:spacing w:line="360" w:lineRule="exact"/>
        <w:ind w:firstLine="405"/>
        <w:rPr>
          <w:rFonts w:cs="宋体"/>
          <w:color w:val="auto"/>
          <w:sz w:val="21"/>
          <w:szCs w:val="21"/>
          <w:highlight w:val="none"/>
        </w:rPr>
      </w:pPr>
      <w:r>
        <w:rPr>
          <w:rFonts w:hint="eastAsia" w:cs="宋体"/>
          <w:color w:val="auto"/>
          <w:sz w:val="21"/>
          <w:szCs w:val="21"/>
          <w:highlight w:val="none"/>
        </w:rPr>
        <w:t>8.与本次</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6"/>
        <w:spacing w:line="360" w:lineRule="exact"/>
        <w:jc w:val="left"/>
        <w:rPr>
          <w:rFonts w:cs="宋体"/>
          <w:color w:val="auto"/>
          <w:sz w:val="21"/>
          <w:szCs w:val="21"/>
          <w:highlight w:val="none"/>
        </w:rPr>
      </w:pPr>
    </w:p>
    <w:p>
      <w:pPr>
        <w:pStyle w:val="16"/>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6"/>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9"/>
        <w:rPr>
          <w:color w:val="auto"/>
          <w:highlight w:val="none"/>
        </w:rPr>
      </w:pPr>
    </w:p>
    <w:p>
      <w:pPr>
        <w:rPr>
          <w:color w:val="auto"/>
          <w:highlight w:val="none"/>
        </w:rPr>
      </w:pPr>
    </w:p>
    <w:p>
      <w:pPr>
        <w:pStyle w:val="16"/>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6"/>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6"/>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服务期限</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b/>
          <w:color w:val="auto"/>
          <w:sz w:val="28"/>
          <w:szCs w:val="28"/>
          <w:highlight w:val="none"/>
          <w:lang w:eastAsia="zh-CN"/>
        </w:rPr>
        <w:t>谈判</w:t>
      </w:r>
      <w:r>
        <w:rPr>
          <w:rFonts w:hint="eastAsia" w:ascii="宋体" w:hAnsi="宋体"/>
          <w:b/>
          <w:color w:val="auto"/>
          <w:sz w:val="28"/>
          <w:szCs w:val="28"/>
          <w:highlight w:val="none"/>
        </w:rPr>
        <w:t>分项</w:t>
      </w:r>
      <w:r>
        <w:rPr>
          <w:rFonts w:hint="eastAsia" w:ascii="宋体" w:hAnsi="宋体" w:cs="宋体"/>
          <w:b/>
          <w:color w:val="auto"/>
          <w:sz w:val="28"/>
          <w:szCs w:val="28"/>
          <w:highlight w:val="none"/>
        </w:rPr>
        <w:t>报价表</w:t>
      </w: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lang w:eastAsia="zh-CN"/>
        </w:rPr>
        <w:t>谈判</w:t>
      </w:r>
      <w:r>
        <w:rPr>
          <w:rFonts w:hint="eastAsia" w:ascii="宋体" w:hAnsi="宋体"/>
          <w:b/>
          <w:color w:val="auto"/>
          <w:sz w:val="28"/>
          <w:szCs w:val="28"/>
          <w:highlight w:val="none"/>
        </w:rPr>
        <w:t>分项报价表</w:t>
      </w:r>
    </w:p>
    <w:p>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p>
      <w:pPr>
        <w:snapToGrid w:val="0"/>
        <w:spacing w:line="360" w:lineRule="auto"/>
        <w:rPr>
          <w:rFonts w:hint="eastAsia" w:ascii="宋体" w:hAnsi="宋体" w:cs="Arial"/>
          <w:color w:val="auto"/>
          <w:kern w:val="0"/>
          <w:szCs w:val="21"/>
          <w:highlight w:val="none"/>
          <w:lang w:eastAsia="zh-CN"/>
        </w:rPr>
      </w:pPr>
    </w:p>
    <w:p>
      <w:pPr>
        <w:snapToGrid w:val="0"/>
        <w:spacing w:line="360" w:lineRule="auto"/>
        <w:rPr>
          <w:rFonts w:hint="eastAsia" w:ascii="宋体" w:hAnsi="宋体" w:eastAsia="宋体" w:cs="Arial"/>
          <w:color w:val="auto"/>
          <w:kern w:val="0"/>
          <w:szCs w:val="21"/>
          <w:highlight w:val="none"/>
          <w:lang w:eastAsia="zh-CN"/>
        </w:rPr>
      </w:pP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lang w:val="en-US" w:eastAsia="zh-CN"/>
        </w:rPr>
        <w:t>格式自拟</w:t>
      </w:r>
      <w:r>
        <w:rPr>
          <w:rFonts w:hint="eastAsia" w:ascii="宋体" w:hAnsi="宋体" w:cs="Arial"/>
          <w:color w:val="auto"/>
          <w:kern w:val="0"/>
          <w:szCs w:val="21"/>
          <w:highlight w:val="none"/>
          <w:lang w:eastAsia="zh-CN"/>
        </w:rPr>
        <w:t>）</w:t>
      </w:r>
    </w:p>
    <w:p>
      <w:pPr>
        <w:snapToGrid w:val="0"/>
        <w:spacing w:line="360" w:lineRule="auto"/>
        <w:rPr>
          <w:rFonts w:hint="eastAsia" w:ascii="宋体" w:hAnsi="宋体" w:cs="Arial"/>
          <w:color w:val="auto"/>
          <w:kern w:val="0"/>
          <w:szCs w:val="21"/>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snapToGrid w:val="0"/>
        <w:spacing w:line="360" w:lineRule="auto"/>
        <w:rPr>
          <w:rFonts w:ascii="宋体" w:hAnsi="宋体"/>
          <w:color w:val="auto"/>
          <w:szCs w:val="21"/>
          <w:highlight w:val="none"/>
        </w:rPr>
      </w:pPr>
    </w:p>
    <w:p>
      <w:pPr>
        <w:spacing w:line="360" w:lineRule="atLeast"/>
        <w:ind w:firstLine="422" w:firstLineChars="200"/>
        <w:rPr>
          <w:rFonts w:hint="eastAsia" w:ascii="宋体" w:hAnsi="宋体" w:cs="宋体"/>
          <w:b/>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.服务承诺书</w:t>
      </w:r>
    </w:p>
    <w:p>
      <w:pPr>
        <w:pStyle w:val="3"/>
        <w:tabs>
          <w:tab w:val="left" w:pos="432"/>
        </w:tabs>
        <w:spacing w:line="480" w:lineRule="exact"/>
        <w:rPr>
          <w:rFonts w:ascii="宋体" w:hAnsi="宋体" w:eastAsia="宋体" w:cs="宋体"/>
          <w:b/>
          <w:bCs/>
          <w:color w:val="auto"/>
          <w:sz w:val="32"/>
          <w:szCs w:val="32"/>
          <w:highlight w:val="none"/>
        </w:rPr>
      </w:pP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服务承诺书</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8</w:t>
      </w:r>
      <w:r>
        <w:rPr>
          <w:rFonts w:hint="eastAsia" w:hAnsi="宋体" w:cs="宋体"/>
          <w:b/>
          <w:bCs/>
          <w:color w:val="auto"/>
          <w:sz w:val="28"/>
          <w:szCs w:val="28"/>
          <w:highlight w:val="none"/>
        </w:rPr>
        <w:t>.企业声明函</w:t>
      </w:r>
    </w:p>
    <w:p>
      <w:pPr>
        <w:spacing w:line="560" w:lineRule="exact"/>
        <w:ind w:firstLine="321" w:firstLineChars="100"/>
        <w:jc w:val="center"/>
        <w:rPr>
          <w:rFonts w:hint="eastAsia" w:ascii="黑体" w:hAnsi="黑体" w:eastAsia="黑体"/>
          <w:b/>
          <w:color w:val="auto"/>
          <w:sz w:val="32"/>
          <w:szCs w:val="32"/>
          <w:highlight w:val="none"/>
          <w:lang w:eastAsia="zh-CN"/>
        </w:rPr>
      </w:pPr>
    </w:p>
    <w:p>
      <w:pPr>
        <w:spacing w:line="560" w:lineRule="exact"/>
        <w:ind w:firstLine="321" w:firstLineChars="100"/>
        <w:jc w:val="center"/>
        <w:rPr>
          <w:rFonts w:hint="eastAsia" w:ascii="黑体" w:hAnsi="黑体" w:eastAsia="黑体"/>
          <w:b/>
          <w:color w:val="auto"/>
          <w:sz w:val="32"/>
          <w:szCs w:val="32"/>
          <w:highlight w:val="none"/>
          <w:lang w:eastAsia="zh-CN"/>
        </w:rPr>
      </w:pPr>
      <w:r>
        <w:rPr>
          <w:rFonts w:hint="eastAsia" w:ascii="黑体" w:hAnsi="黑体" w:eastAsia="黑体"/>
          <w:b/>
          <w:color w:val="auto"/>
          <w:sz w:val="32"/>
          <w:szCs w:val="32"/>
          <w:highlight w:val="none"/>
          <w:lang w:eastAsia="zh-CN"/>
        </w:rPr>
        <w:t>中小企业声明函</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本公司郑重声明，根据《政府采购促进中小企业发展管理办法》（财库﹝2020﹞46 号）的规定，本公司参加</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（单位名称）</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的</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（项目名称）</w:t>
      </w:r>
      <w:r>
        <w:rPr>
          <w:rFonts w:hint="eastAsia" w:asciiTheme="minorEastAsia" w:hAnsiTheme="minorEastAsia" w:eastAsiaTheme="minorEastAsia" w:cstheme="minorEastAsia"/>
          <w:i w:val="0"/>
          <w:iCs w:val="0"/>
          <w:color w:val="auto"/>
          <w:sz w:val="24"/>
          <w:szCs w:val="24"/>
          <w:highlight w:val="none"/>
        </w:rPr>
        <w:t>采购活动，服务全部由符合政策要求的中小企业承接。企业的具体情况如下：</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 </w:t>
      </w:r>
      <w:r>
        <w:rPr>
          <w:rFonts w:hint="eastAsia" w:asciiTheme="minorEastAsia" w:hAnsiTheme="minorEastAsia" w:eastAsiaTheme="minorEastAsia" w:cstheme="minorEastAsia"/>
          <w:i w:val="0"/>
          <w:iCs w:val="0"/>
          <w:color w:val="auto"/>
          <w:sz w:val="24"/>
          <w:szCs w:val="24"/>
          <w:highlight w:val="none"/>
          <w:u w:val="single"/>
        </w:rPr>
        <w:t xml:space="preserve">（标的名称） </w:t>
      </w:r>
      <w:r>
        <w:rPr>
          <w:rFonts w:hint="eastAsia" w:asciiTheme="minorEastAsia" w:hAnsiTheme="minorEastAsia" w:eastAsiaTheme="minorEastAsia" w:cstheme="minorEastAsia"/>
          <w:i w:val="0"/>
          <w:iCs w:val="0"/>
          <w:color w:val="auto"/>
          <w:sz w:val="24"/>
          <w:szCs w:val="24"/>
          <w:highlight w:val="none"/>
        </w:rPr>
        <w:t>，属于</w:t>
      </w:r>
      <w:r>
        <w:rPr>
          <w:rFonts w:hint="eastAsia" w:asciiTheme="minorEastAsia" w:hAnsiTheme="minorEastAsia" w:eastAsiaTheme="minorEastAsia" w:cstheme="minorEastAsia"/>
          <w:i w:val="0"/>
          <w:iCs w:val="0"/>
          <w:color w:val="auto"/>
          <w:sz w:val="24"/>
          <w:szCs w:val="24"/>
          <w:highlight w:val="none"/>
          <w:u w:val="single"/>
        </w:rPr>
        <w:t>（采购文件中明确的所属行业）</w:t>
      </w:r>
      <w:r>
        <w:rPr>
          <w:rFonts w:hint="eastAsia" w:asciiTheme="minorEastAsia" w:hAnsiTheme="minorEastAsia" w:eastAsiaTheme="minorEastAsia" w:cstheme="minorEastAsia"/>
          <w:i w:val="0"/>
          <w:iCs w:val="0"/>
          <w:color w:val="auto"/>
          <w:sz w:val="24"/>
          <w:szCs w:val="24"/>
          <w:highlight w:val="none"/>
        </w:rPr>
        <w:t>；承接企业为</w:t>
      </w:r>
      <w:r>
        <w:rPr>
          <w:rFonts w:hint="eastAsia" w:asciiTheme="minorEastAsia" w:hAnsiTheme="minorEastAsia" w:eastAsiaTheme="minorEastAsia" w:cstheme="minorEastAsia"/>
          <w:i w:val="0"/>
          <w:iCs w:val="0"/>
          <w:color w:val="auto"/>
          <w:sz w:val="24"/>
          <w:szCs w:val="24"/>
          <w:highlight w:val="none"/>
          <w:u w:val="single"/>
        </w:rPr>
        <w:t>（企业名称）</w:t>
      </w:r>
      <w:r>
        <w:rPr>
          <w:rFonts w:hint="eastAsia" w:asciiTheme="minorEastAsia" w:hAnsiTheme="minorEastAsia" w:eastAsiaTheme="minorEastAsia" w:cstheme="minorEastAsia"/>
          <w:i w:val="0"/>
          <w:iCs w:val="0"/>
          <w:color w:val="auto"/>
          <w:sz w:val="24"/>
          <w:szCs w:val="24"/>
          <w:highlight w:val="none"/>
        </w:rPr>
        <w:t>，从业人员</w:t>
      </w:r>
      <w:r>
        <w:rPr>
          <w:rFonts w:hint="eastAsia" w:asciiTheme="minorEastAsia" w:hAnsiTheme="minorEastAsia" w:eastAsiaTheme="minorEastAsia" w:cstheme="minorEastAsia"/>
          <w:i w:val="0"/>
          <w:iCs w:val="0"/>
          <w:color w:val="auto"/>
          <w:sz w:val="24"/>
          <w:szCs w:val="24"/>
          <w:highlight w:val="none"/>
          <w:u w:val="single"/>
        </w:rPr>
        <w:t xml:space="preserve"> </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人，营业收入为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万元，资产总额为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万元¹，属于</w:t>
      </w:r>
      <w:r>
        <w:rPr>
          <w:rFonts w:hint="eastAsia" w:asciiTheme="minorEastAsia" w:hAnsiTheme="minorEastAsia" w:eastAsiaTheme="minorEastAsia" w:cstheme="minorEastAsia"/>
          <w:i w:val="0"/>
          <w:iCs w:val="0"/>
          <w:color w:val="auto"/>
          <w:sz w:val="24"/>
          <w:szCs w:val="24"/>
          <w:highlight w:val="none"/>
          <w:u w:val="single"/>
        </w:rPr>
        <w:t>（中型企业、小型企业、微型企业）</w:t>
      </w:r>
      <w:r>
        <w:rPr>
          <w:rFonts w:hint="eastAsia" w:asciiTheme="minorEastAsia" w:hAnsiTheme="minorEastAsia" w:eastAsiaTheme="minorEastAsia" w:cstheme="minorEastAsia"/>
          <w:i w:val="0"/>
          <w:iCs w:val="0"/>
          <w:color w:val="auto"/>
          <w:sz w:val="24"/>
          <w:szCs w:val="24"/>
          <w:highlight w:val="none"/>
        </w:rPr>
        <w:t>；</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本企业不属于大企业的分支机构，不存在控股股东为大企业的情形，也不存在与大企业的负责人为同一人的情形。 </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本企业对上述声明内容的真实性负责。如有虚假，将依法承担相应责任。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 xml:space="preserve">企业名称（盖章）：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日 期：</w:t>
      </w:r>
    </w:p>
    <w:p>
      <w:pPr>
        <w:spacing w:line="560" w:lineRule="exact"/>
        <w:ind w:firstLine="280" w:firstLineChars="100"/>
        <w:rPr>
          <w:rFonts w:ascii="宋体" w:hAnsi="宋体"/>
          <w:color w:val="auto"/>
          <w:sz w:val="24"/>
          <w:highlight w:val="none"/>
        </w:rPr>
      </w:pPr>
      <w:r>
        <w:rPr>
          <w:rFonts w:hint="eastAsia" w:ascii="宋体" w:hAnsi="宋体" w:eastAsia="宋体" w:cs="宋体"/>
          <w:color w:val="auto"/>
          <w:sz w:val="28"/>
          <w:szCs w:val="28"/>
          <w:highlight w:val="none"/>
        </w:rPr>
        <w:t>¹</w:t>
      </w:r>
      <w:r>
        <w:rPr>
          <w:rFonts w:ascii="宋体" w:hAnsi="宋体" w:eastAsia="宋体" w:cs="宋体"/>
          <w:color w:val="auto"/>
          <w:sz w:val="24"/>
          <w:szCs w:val="24"/>
          <w:highlight w:val="none"/>
        </w:rPr>
        <w:t>从业人员、营业收入、资产总额填报上一年度数据，无上一年度数据的新成立企业可不填报。</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注：</w:t>
      </w:r>
      <w:r>
        <w:rPr>
          <w:rFonts w:hint="eastAsia" w:asciiTheme="minorEastAsia" w:hAnsiTheme="minorEastAsia" w:eastAsiaTheme="minorEastAsia" w:cstheme="minorEastAsia"/>
          <w:i w:val="0"/>
          <w:iCs w:val="0"/>
          <w:color w:val="auto"/>
          <w:sz w:val="24"/>
          <w:szCs w:val="24"/>
          <w:highlight w:val="none"/>
          <w:lang w:val="en-US" w:eastAsia="zh-CN"/>
        </w:rPr>
        <w:t>1.</w:t>
      </w:r>
      <w:r>
        <w:rPr>
          <w:rFonts w:hint="eastAsia" w:asciiTheme="minorEastAsia" w:hAnsiTheme="minorEastAsia" w:eastAsiaTheme="minorEastAsia" w:cstheme="minorEastAsia"/>
          <w:i w:val="0"/>
          <w:iCs w:val="0"/>
          <w:color w:val="auto"/>
          <w:sz w:val="24"/>
          <w:szCs w:val="24"/>
          <w:highlight w:val="none"/>
          <w:lang w:eastAsia="zh-CN"/>
        </w:rPr>
        <w:t>供应商</w:t>
      </w:r>
      <w:r>
        <w:rPr>
          <w:rFonts w:hint="eastAsia" w:asciiTheme="minorEastAsia" w:hAnsiTheme="minorEastAsia" w:eastAsiaTheme="minorEastAsia" w:cstheme="minorEastAsia"/>
          <w:i w:val="0"/>
          <w:iCs w:val="0"/>
          <w:color w:val="auto"/>
          <w:sz w:val="24"/>
          <w:szCs w:val="24"/>
          <w:highlight w:val="none"/>
        </w:rPr>
        <w:t>如属于小型和微型企业</w:t>
      </w:r>
      <w:r>
        <w:rPr>
          <w:rFonts w:hint="eastAsia" w:asciiTheme="minorEastAsia" w:hAnsiTheme="minorEastAsia" w:eastAsiaTheme="minorEastAsia" w:cstheme="minorEastAsia"/>
          <w:i w:val="0"/>
          <w:iCs w:val="0"/>
          <w:color w:val="auto"/>
          <w:sz w:val="24"/>
          <w:szCs w:val="24"/>
          <w:highlight w:val="none"/>
          <w:lang w:val="en-US" w:eastAsia="zh-CN"/>
        </w:rPr>
        <w:t>,</w:t>
      </w:r>
      <w:r>
        <w:rPr>
          <w:rFonts w:hint="eastAsia" w:asciiTheme="minorEastAsia" w:hAnsiTheme="minorEastAsia" w:eastAsiaTheme="minorEastAsia" w:cstheme="minorEastAsia"/>
          <w:i w:val="0"/>
          <w:iCs w:val="0"/>
          <w:color w:val="auto"/>
          <w:sz w:val="24"/>
          <w:szCs w:val="24"/>
          <w:highlight w:val="none"/>
        </w:rPr>
        <w:t>如不提供此声明函的，价格将不做相应扣除。</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以下情形不影响声明有效性，也不作为虚假资料情形认定：(1)划型标准中个别行业不涉及的指标未填写或填写错误的；(2)声明函中所列行业与采购文件所明确的行业不一致但不改变划型结果的；(3)供应商是非企业性质的或不属于中华人民共和国境内依法设立的属于明显不实的声明函，评委将不予认定其有效，也不作为虚假资料情形认定。</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3.中小企业划型标准规定参考《工信部联企业[2011]300号》。</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sectPr>
          <w:pgSz w:w="11906" w:h="16838"/>
          <w:pgMar w:top="1440" w:right="1800" w:bottom="1440" w:left="1800" w:header="851" w:footer="992" w:gutter="0"/>
          <w:cols w:space="425" w:num="1"/>
          <w:docGrid w:type="lines" w:linePitch="312" w:charSpace="0"/>
        </w:sectPr>
      </w:pPr>
    </w:p>
    <w:p>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9.</w:t>
      </w:r>
      <w:r>
        <w:rPr>
          <w:rFonts w:hint="eastAsia" w:ascii="宋体" w:hAnsi="宋体" w:cs="宋体"/>
          <w:b/>
          <w:color w:val="auto"/>
          <w:sz w:val="28"/>
          <w:szCs w:val="28"/>
          <w:highlight w:val="none"/>
        </w:rPr>
        <w:t>残疾人福利性单位声明函</w:t>
      </w:r>
    </w:p>
    <w:p>
      <w:pPr>
        <w:spacing w:line="560" w:lineRule="exact"/>
        <w:ind w:firstLine="321" w:firstLineChars="100"/>
        <w:jc w:val="center"/>
        <w:rPr>
          <w:rFonts w:hint="eastAsia" w:ascii="黑体" w:hAnsi="黑体" w:eastAsia="黑体"/>
          <w:b/>
          <w:color w:val="auto"/>
          <w:sz w:val="32"/>
          <w:szCs w:val="32"/>
          <w:highlight w:val="none"/>
          <w:lang w:eastAsia="zh-CN"/>
        </w:rPr>
      </w:pPr>
    </w:p>
    <w:p>
      <w:pPr>
        <w:spacing w:line="560" w:lineRule="exact"/>
        <w:ind w:firstLine="321" w:firstLineChars="100"/>
        <w:jc w:val="center"/>
        <w:rPr>
          <w:rFonts w:hint="eastAsia" w:ascii="黑体" w:hAnsi="黑体" w:eastAsia="黑体" w:cs="Times New Roman"/>
          <w:b/>
          <w:color w:val="auto"/>
          <w:sz w:val="32"/>
          <w:szCs w:val="32"/>
          <w:highlight w:val="none"/>
          <w:lang w:eastAsia="zh-CN"/>
        </w:rPr>
      </w:pPr>
      <w:r>
        <w:rPr>
          <w:rFonts w:hint="eastAsia" w:ascii="黑体" w:hAnsi="黑体" w:eastAsia="黑体" w:cs="Times New Roman"/>
          <w:b/>
          <w:color w:val="auto"/>
          <w:sz w:val="32"/>
          <w:szCs w:val="32"/>
          <w:highlight w:val="none"/>
          <w:lang w:eastAsia="zh-CN"/>
        </w:rPr>
        <w:t>残疾人福利性单位声明函（可选）</w:t>
      </w:r>
    </w:p>
    <w:p>
      <w:pPr>
        <w:spacing w:line="360" w:lineRule="auto"/>
        <w:rPr>
          <w:rFonts w:hint="eastAsia" w:asciiTheme="minorEastAsia" w:hAnsiTheme="minorEastAsia" w:eastAsiaTheme="minorEastAsia" w:cstheme="minorEastAsia"/>
          <w:b/>
          <w:color w:val="auto"/>
          <w:spacing w:val="6"/>
          <w:sz w:val="21"/>
          <w:szCs w:val="21"/>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rPr>
        <w:t>【2017】141</w:t>
      </w:r>
      <w:r>
        <w:rPr>
          <w:rFonts w:hint="eastAsia" w:asciiTheme="minorEastAsia" w:hAnsiTheme="minorEastAsia" w:eastAsiaTheme="minorEastAsia" w:cstheme="minorEastAsia"/>
          <w:color w:val="auto"/>
          <w:spacing w:val="6"/>
          <w:sz w:val="24"/>
          <w:szCs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单位的</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项目采购活动由本单位提供服务。</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本单位对上述声明的真实性负责。如有虚假，将依法承担相应责任。</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单位名称（盖章）：</w:t>
      </w: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 xml:space="preserve">       日  期：</w:t>
      </w:r>
    </w:p>
    <w:p>
      <w:pPr>
        <w:tabs>
          <w:tab w:val="left" w:pos="567"/>
          <w:tab w:val="left" w:pos="709"/>
          <w:tab w:val="left" w:pos="993"/>
        </w:tabs>
        <w:topLinePunct/>
        <w:spacing w:before="100" w:beforeAutospacing="1" w:after="100" w:afterAutospacing="1" w:line="360" w:lineRule="auto"/>
        <w:jc w:val="center"/>
        <w:rPr>
          <w:rFonts w:hint="eastAsia" w:asciiTheme="minorEastAsia" w:hAnsiTheme="minorEastAsia" w:eastAsiaTheme="minorEastAsia" w:cstheme="minorEastAsia"/>
          <w:b/>
          <w:bCs/>
          <w:color w:val="auto"/>
          <w:kern w:val="44"/>
          <w:sz w:val="21"/>
          <w:szCs w:val="21"/>
          <w:highlight w:val="none"/>
        </w:rPr>
      </w:pPr>
    </w:p>
    <w:p>
      <w:pPr>
        <w:jc w:val="center"/>
        <w:rPr>
          <w:rFonts w:hint="eastAsia" w:ascii="宋体" w:hAnsi="宋体" w:cs="宋体"/>
          <w:b/>
          <w:color w:val="auto"/>
          <w:sz w:val="32"/>
          <w:szCs w:val="32"/>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30634BD"/>
    <w:rsid w:val="04573D11"/>
    <w:rsid w:val="052150F4"/>
    <w:rsid w:val="060A55BB"/>
    <w:rsid w:val="070C42A8"/>
    <w:rsid w:val="08073296"/>
    <w:rsid w:val="08442A7A"/>
    <w:rsid w:val="08840BA4"/>
    <w:rsid w:val="089F029F"/>
    <w:rsid w:val="0917644A"/>
    <w:rsid w:val="09190442"/>
    <w:rsid w:val="098C0586"/>
    <w:rsid w:val="0A2B7009"/>
    <w:rsid w:val="0DEA5B25"/>
    <w:rsid w:val="0F856435"/>
    <w:rsid w:val="11B933BC"/>
    <w:rsid w:val="12661633"/>
    <w:rsid w:val="12D00772"/>
    <w:rsid w:val="13DD0205"/>
    <w:rsid w:val="157C54AE"/>
    <w:rsid w:val="15AA4FDA"/>
    <w:rsid w:val="17184B22"/>
    <w:rsid w:val="173F55C8"/>
    <w:rsid w:val="189063F1"/>
    <w:rsid w:val="192C239E"/>
    <w:rsid w:val="199F3089"/>
    <w:rsid w:val="19DF25B4"/>
    <w:rsid w:val="19FF0227"/>
    <w:rsid w:val="1F7C34DD"/>
    <w:rsid w:val="1FEB1FD2"/>
    <w:rsid w:val="1FF37252"/>
    <w:rsid w:val="21FC49C9"/>
    <w:rsid w:val="2218501A"/>
    <w:rsid w:val="24C02A8C"/>
    <w:rsid w:val="270E5DF2"/>
    <w:rsid w:val="28242D82"/>
    <w:rsid w:val="29472F77"/>
    <w:rsid w:val="2AD24E99"/>
    <w:rsid w:val="2DB82ADA"/>
    <w:rsid w:val="33A17275"/>
    <w:rsid w:val="36BD1572"/>
    <w:rsid w:val="375436D0"/>
    <w:rsid w:val="37677E90"/>
    <w:rsid w:val="37AD4689"/>
    <w:rsid w:val="3A0B5E8B"/>
    <w:rsid w:val="3A987192"/>
    <w:rsid w:val="3D6011C1"/>
    <w:rsid w:val="3D60217E"/>
    <w:rsid w:val="3E336DCA"/>
    <w:rsid w:val="3EE47C93"/>
    <w:rsid w:val="3FE62C2A"/>
    <w:rsid w:val="40A82892"/>
    <w:rsid w:val="40E6422E"/>
    <w:rsid w:val="413F7265"/>
    <w:rsid w:val="41894BD4"/>
    <w:rsid w:val="43887E77"/>
    <w:rsid w:val="43A4541C"/>
    <w:rsid w:val="44F557CA"/>
    <w:rsid w:val="45AF42ED"/>
    <w:rsid w:val="45CC2FFC"/>
    <w:rsid w:val="47055A52"/>
    <w:rsid w:val="47587EC6"/>
    <w:rsid w:val="484473F7"/>
    <w:rsid w:val="495B7054"/>
    <w:rsid w:val="4BBA2570"/>
    <w:rsid w:val="4CFE61A4"/>
    <w:rsid w:val="4D043CAC"/>
    <w:rsid w:val="4DD21CD8"/>
    <w:rsid w:val="521F5D66"/>
    <w:rsid w:val="54AC2921"/>
    <w:rsid w:val="55AB06CF"/>
    <w:rsid w:val="562C33EA"/>
    <w:rsid w:val="571238AB"/>
    <w:rsid w:val="58132365"/>
    <w:rsid w:val="5A504AD9"/>
    <w:rsid w:val="5F4F2FEA"/>
    <w:rsid w:val="62746851"/>
    <w:rsid w:val="63237935"/>
    <w:rsid w:val="651833B8"/>
    <w:rsid w:val="65871EF3"/>
    <w:rsid w:val="6599757D"/>
    <w:rsid w:val="680C2CF8"/>
    <w:rsid w:val="690C6515"/>
    <w:rsid w:val="69447104"/>
    <w:rsid w:val="697405CC"/>
    <w:rsid w:val="6AA1152B"/>
    <w:rsid w:val="6BD37D5E"/>
    <w:rsid w:val="6C262399"/>
    <w:rsid w:val="6D5A25EC"/>
    <w:rsid w:val="71546771"/>
    <w:rsid w:val="7326208B"/>
    <w:rsid w:val="736C4651"/>
    <w:rsid w:val="741C3E8C"/>
    <w:rsid w:val="75A34131"/>
    <w:rsid w:val="79157A6A"/>
    <w:rsid w:val="7A084F9B"/>
    <w:rsid w:val="7B5F5634"/>
    <w:rsid w:val="7B8F4C4D"/>
    <w:rsid w:val="7EBD61D5"/>
    <w:rsid w:val="7F9177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45"/>
    </w:pPr>
    <w:rPr>
      <w:rFonts w:ascii="楷体_GB2312" w:eastAsia="楷体_GB2312"/>
      <w:kern w:val="0"/>
      <w:sz w:val="32"/>
      <w:szCs w:val="20"/>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paragraph" w:customStyle="1" w:styleId="12">
    <w:name w:val="段"/>
    <w:next w:val="1"/>
    <w:qFormat/>
    <w:uiPriority w:val="0"/>
    <w:pPr>
      <w:autoSpaceDE w:val="0"/>
      <w:autoSpaceDN w:val="0"/>
      <w:spacing w:line="360" w:lineRule="auto"/>
      <w:ind w:firstLine="0"/>
      <w:jc w:val="both"/>
    </w:pPr>
    <w:rPr>
      <w:rFonts w:ascii="宋体" w:hAnsi="宋体" w:eastAsia="宋体" w:cs="宋体"/>
      <w:sz w:val="24"/>
      <w:szCs w:val="24"/>
      <w:lang w:val="en-US" w:eastAsia="zh-CN" w:bidi="ar-SA"/>
    </w:rPr>
  </w:style>
  <w:style w:type="character" w:customStyle="1" w:styleId="13">
    <w:name w:val="批注主题 Char"/>
    <w:qFormat/>
    <w:uiPriority w:val="99"/>
    <w:rPr>
      <w:rFonts w:eastAsia="宋体"/>
      <w:b/>
      <w:bCs/>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Í¼±íÕýÎÄ"/>
    <w:basedOn w:val="1"/>
    <w:next w:val="4"/>
    <w:qFormat/>
    <w:uiPriority w:val="0"/>
    <w:pPr>
      <w:ind w:firstLine="420" w:firstLineChars="200"/>
    </w:pPr>
    <w:rPr>
      <w:sz w:val="24"/>
    </w:rPr>
  </w:style>
  <w:style w:type="paragraph" w:customStyle="1" w:styleId="16">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7">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8">
    <w:name w:val="页码1"/>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嵇玲</cp:lastModifiedBy>
  <dcterms:modified xsi:type="dcterms:W3CDTF">2021-11-09T06:17:17Z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BF3EF81762134CB695216B7C36052BCB</vt:lpwstr>
  </property>
</Properties>
</file>