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9F6"/>
  <w:body>
    <w:p>
      <w:pPr>
        <w:snapToGrid w:val="0"/>
        <w:spacing w:line="360" w:lineRule="auto"/>
        <w:jc w:val="both"/>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highlight w:val="yellow"/>
          <w:lang w:val="en-US"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sz w:val="28"/>
          <w:szCs w:val="32"/>
          <w:highlight w:val="none"/>
          <w:lang w:eastAsia="zh-CN"/>
        </w:rPr>
        <w:t>SYZB-SX-2022004</w:t>
      </w:r>
    </w:p>
    <w:p>
      <w:pPr>
        <w:adjustRightInd w:val="0"/>
        <w:snapToGrid w:val="0"/>
        <w:spacing w:line="800" w:lineRule="exact"/>
        <w:ind w:firstLine="1680" w:firstLineChars="600"/>
        <w:jc w:val="both"/>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常州经济开发区规划环评监测项目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sz w:val="28"/>
          <w:szCs w:val="32"/>
          <w:lang w:eastAsia="zh-CN"/>
        </w:rPr>
        <w:t>中吴人居江苏环境检测有限公司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三</w:t>
      </w:r>
      <w:r>
        <w:rPr>
          <w:rFonts w:hint="eastAsia" w:ascii="宋体" w:hAnsi="宋体" w:cs="宋体"/>
          <w:w w:val="90"/>
          <w:sz w:val="44"/>
          <w:szCs w:val="44"/>
        </w:rPr>
        <w:t>月</w:t>
      </w:r>
    </w:p>
    <w:p>
      <w:pPr>
        <w:widowControl/>
        <w:jc w:val="left"/>
        <w:rPr>
          <w:rFonts w:ascii="宋体" w:hAnsi="宋体" w:cs="宋体"/>
          <w:b/>
          <w:bCs/>
          <w:sz w:val="24"/>
          <w:szCs w:val="24"/>
        </w:rPr>
      </w:pPr>
    </w:p>
    <w:p>
      <w:pPr>
        <w:rPr>
          <w:rFonts w:hint="eastAsia" w:ascii="宋体" w:hAnsi="宋体"/>
          <w:b/>
          <w:sz w:val="28"/>
          <w:szCs w:val="28"/>
          <w:lang w:eastAsia="zh-CN"/>
        </w:rPr>
      </w:pPr>
      <w:r>
        <w:rPr>
          <w:rFonts w:hint="eastAsia" w:ascii="宋体" w:hAnsi="宋体"/>
          <w:b/>
          <w:sz w:val="28"/>
          <w:szCs w:val="28"/>
          <w:lang w:eastAsia="zh-CN"/>
        </w:rPr>
        <w:br w:type="page"/>
      </w:r>
    </w:p>
    <w:p>
      <w:pPr>
        <w:snapToGrid w:val="0"/>
        <w:ind w:firstLine="281" w:firstLineChars="100"/>
        <w:jc w:val="center"/>
        <w:rPr>
          <w:rFonts w:ascii="宋体" w:hAnsi="宋体" w:cs="宋体"/>
          <w:b/>
          <w:bCs/>
          <w:sz w:val="28"/>
          <w:szCs w:val="28"/>
          <w:u w:val="none"/>
        </w:rPr>
      </w:pPr>
      <w:r>
        <w:rPr>
          <w:rFonts w:hint="eastAsia" w:ascii="宋体" w:hAnsi="宋体"/>
          <w:b/>
          <w:sz w:val="28"/>
          <w:szCs w:val="28"/>
          <w:lang w:eastAsia="zh-CN"/>
        </w:rPr>
        <w:t>常州经济开发区规划环评监测项目</w:t>
      </w:r>
      <w:r>
        <w:rPr>
          <w:rFonts w:hint="eastAsia" w:ascii="宋体" w:hAnsi="宋体"/>
          <w:b/>
          <w:sz w:val="28"/>
          <w:szCs w:val="28"/>
        </w:rPr>
        <w:t>询价公告</w:t>
      </w:r>
    </w:p>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编号：</w:t>
      </w:r>
      <w:r>
        <w:rPr>
          <w:rFonts w:hint="eastAsia" w:ascii="宋体" w:hAnsi="宋体" w:cs="宋体"/>
          <w:sz w:val="24"/>
          <w:szCs w:val="24"/>
          <w:highlight w:val="none"/>
          <w:lang w:eastAsia="zh-CN"/>
        </w:rPr>
        <w:t>SYZB-SX-2022004</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cs="宋体" w:asciiTheme="minorEastAsia" w:hAnsiTheme="minorEastAsia" w:eastAsiaTheme="minorEastAsia"/>
          <w:color w:val="auto"/>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color w:val="auto"/>
          <w:szCs w:val="21"/>
          <w:u w:val="none"/>
          <w:lang w:val="en-US" w:eastAsia="zh-CN"/>
        </w:rPr>
        <w:t>常州经济开发区规划环评监测项目</w:t>
      </w:r>
      <w:r>
        <w:rPr>
          <w:rFonts w:hint="eastAsia" w:asciiTheme="minorEastAsia" w:hAnsiTheme="minorEastAsia" w:eastAsiaTheme="minorEastAsia"/>
          <w:color w:val="000000"/>
          <w:szCs w:val="21"/>
        </w:rPr>
        <w:t>进行</w:t>
      </w:r>
      <w:r>
        <w:rPr>
          <w:rFonts w:hint="eastAsia" w:asciiTheme="minorEastAsia" w:hAnsiTheme="minorEastAsia" w:eastAsiaTheme="minorEastAsia"/>
          <w:color w:val="000000"/>
          <w:szCs w:val="21"/>
          <w:lang w:eastAsia="zh-CN"/>
        </w:rPr>
        <w:t>询价</w:t>
      </w:r>
      <w:r>
        <w:rPr>
          <w:rFonts w:hint="eastAsia" w:asciiTheme="minorEastAsia" w:hAnsiTheme="minorEastAsia" w:eastAsiaTheme="minorEastAsia"/>
          <w:color w:val="000000"/>
          <w:szCs w:val="21"/>
        </w:rPr>
        <w:t>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szCs w:val="21"/>
          <w:lang w:eastAsia="zh-CN"/>
        </w:rPr>
        <w:t>常州经济开发区规划环评监测项目</w:t>
      </w:r>
    </w:p>
    <w:p>
      <w:pPr>
        <w:snapToGrid w:val="0"/>
        <w:spacing w:line="360" w:lineRule="exact"/>
        <w:ind w:firstLine="422" w:firstLineChars="200"/>
        <w:rPr>
          <w:rFonts w:hint="eastAsia" w:asciiTheme="minorEastAsia" w:hAnsiTheme="minorEastAsia" w:eastAsiaTheme="minorEastAsia"/>
          <w:b/>
          <w:spacing w:val="2"/>
          <w:szCs w:val="21"/>
          <w:highlight w:val="yellow"/>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szCs w:val="21"/>
          <w:highlight w:val="none"/>
          <w:lang w:eastAsia="zh-CN"/>
        </w:rPr>
        <w:t>SYZB-SX-2022004</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20.3</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20.3</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p>
    <w:p>
      <w:pPr>
        <w:snapToGrid w:val="0"/>
        <w:spacing w:line="360" w:lineRule="exact"/>
        <w:ind w:firstLine="428" w:firstLineChars="200"/>
        <w:rPr>
          <w:rFonts w:hint="default" w:asciiTheme="minorEastAsia" w:hAnsiTheme="minorEastAsia" w:eastAsiaTheme="minorEastAsia"/>
          <w:b w:val="0"/>
          <w:bCs/>
          <w:spacing w:val="2"/>
          <w:szCs w:val="21"/>
          <w:lang w:val="en-US"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常州经济开发区规划环评监测项目</w:t>
      </w:r>
      <w:r>
        <w:rPr>
          <w:rFonts w:hint="eastAsia" w:asciiTheme="minorEastAsia" w:hAnsiTheme="minorEastAsia" w:eastAsiaTheme="minorEastAsia"/>
          <w:b w:val="0"/>
          <w:bCs/>
          <w:spacing w:val="2"/>
          <w:szCs w:val="21"/>
        </w:rPr>
        <w:t>，服务内容包括但不限于按照《常州经济开发区规划环评监测方案》，开展经开区园区大气、地下水、噪声、土壤、底泥环境质量现状监测,并提供具有CMA认证的检测报告。</w:t>
      </w:r>
    </w:p>
    <w:p>
      <w:pPr>
        <w:snapToGrid w:val="0"/>
        <w:spacing w:line="360" w:lineRule="exact"/>
        <w:ind w:firstLine="422" w:firstLineChars="200"/>
        <w:rPr>
          <w:rFonts w:asciiTheme="minorEastAsia" w:hAnsiTheme="minorEastAsia" w:eastAsiaTheme="minorEastAsia"/>
          <w:color w:val="auto"/>
          <w:szCs w:val="21"/>
        </w:rPr>
      </w:pPr>
      <w:r>
        <w:rPr>
          <w:rStyle w:val="14"/>
          <w:rFonts w:hint="eastAsia"/>
          <w:color w:val="auto"/>
          <w:szCs w:val="21"/>
          <w:shd w:val="clear" w:color="auto" w:fill="FFFFFF"/>
        </w:rPr>
        <w:t>五、</w:t>
      </w:r>
      <w:r>
        <w:rPr>
          <w:rStyle w:val="14"/>
          <w:rFonts w:hint="eastAsia"/>
          <w:color w:val="auto"/>
          <w:szCs w:val="21"/>
          <w:shd w:val="clear" w:color="auto" w:fill="FFFFFF"/>
          <w:lang w:eastAsia="zh-CN"/>
        </w:rPr>
        <w:t>供应商</w:t>
      </w:r>
      <w:r>
        <w:rPr>
          <w:rStyle w:val="14"/>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000000"/>
          <w:szCs w:val="21"/>
        </w:rPr>
      </w:pPr>
      <w:r>
        <w:rPr>
          <w:rFonts w:hint="eastAsia" w:asciiTheme="minorEastAsia" w:hAnsiTheme="minorEastAsia" w:eastAsiaTheme="minorEastAsia"/>
          <w:b/>
          <w:bCs/>
          <w:szCs w:val="21"/>
        </w:rPr>
        <w:t>（一）</w:t>
      </w:r>
      <w:r>
        <w:rPr>
          <w:rFonts w:hint="eastAsia" w:cs="宋体" w:asciiTheme="minorEastAsia" w:hAnsiTheme="minorEastAsia" w:eastAsiaTheme="minorEastAsia"/>
          <w:b/>
          <w:color w:val="000000"/>
          <w:szCs w:val="21"/>
        </w:rPr>
        <w:t>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w:t>
      </w:r>
      <w:r>
        <w:rPr>
          <w:rFonts w:hint="eastAsia" w:cs="宋体" w:asciiTheme="minorEastAsia" w:hAnsiTheme="minorEastAsia" w:eastAsiaTheme="minorEastAsia"/>
          <w:color w:val="000000"/>
          <w:szCs w:val="21"/>
          <w:lang w:eastAsia="zh-CN"/>
        </w:rPr>
        <w:t>供应商</w:t>
      </w:r>
      <w:r>
        <w:rPr>
          <w:rFonts w:hint="eastAsia" w:cs="宋体" w:asciiTheme="minorEastAsia" w:hAnsiTheme="minorEastAsia" w:eastAsiaTheme="minorEastAsia"/>
          <w:color w:val="000000"/>
          <w:szCs w:val="21"/>
        </w:rPr>
        <w:t>，不得参加同一合同项下的采购活动；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000000"/>
          <w:szCs w:val="21"/>
          <w:lang w:val="en-US"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本项目不接受联合体</w:t>
      </w:r>
      <w:r>
        <w:rPr>
          <w:rFonts w:hint="eastAsia" w:cs="宋体" w:asciiTheme="minorEastAsia" w:hAnsiTheme="minorEastAsia" w:eastAsiaTheme="minorEastAsia"/>
          <w:b/>
          <w:color w:val="000000"/>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7</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eastAsia="zh-CN"/>
        </w:rPr>
        <w:t>叁仟元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3</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10</w:t>
      </w:r>
      <w:bookmarkStart w:id="1" w:name="_GoBack"/>
      <w:bookmarkEnd w:id="1"/>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交纳方式：银行电汇或转帐</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必须自行将</w:t>
      </w: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szCs w:val="21"/>
        </w:rPr>
      </w:pPr>
      <w:r>
        <w:rPr>
          <w:rFonts w:hint="eastAsia" w:asciiTheme="minorEastAsia" w:hAnsiTheme="minorEastAsia" w:eastAsiaTheme="minorEastAsia"/>
          <w:b/>
        </w:rPr>
        <w:t>九、</w:t>
      </w:r>
      <w:r>
        <w:rPr>
          <w:rFonts w:hint="eastAsia" w:asciiTheme="minorEastAsia" w:hAnsiTheme="minorEastAsia" w:eastAsiaTheme="minorEastAsia"/>
          <w:b/>
          <w:bCs/>
          <w:szCs w:val="21"/>
        </w:rPr>
        <w:t>询价响应文件提交及询价时间信息</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提交时间：</w:t>
      </w:r>
      <w:r>
        <w:rPr>
          <w:rFonts w:hint="eastAsia" w:asciiTheme="minorEastAsia" w:hAnsiTheme="minorEastAsia" w:eastAsiaTheme="minorEastAsia"/>
          <w:b/>
          <w:bCs/>
          <w:szCs w:val="21"/>
        </w:rPr>
        <w:t>2</w:t>
      </w:r>
      <w:r>
        <w:rPr>
          <w:rFonts w:hint="eastAsia" w:asciiTheme="minorEastAsia" w:hAnsiTheme="minorEastAsia" w:eastAsiaTheme="minorEastAsia"/>
          <w:b/>
          <w:bCs/>
          <w:szCs w:val="21"/>
          <w:lang w:val="en-US" w:eastAsia="zh-CN"/>
        </w:rPr>
        <w:t>022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提交截止暨询价开始时间：</w:t>
      </w:r>
      <w:r>
        <w:rPr>
          <w:rFonts w:hint="eastAsia" w:asciiTheme="minorEastAsia" w:hAnsiTheme="minorEastAsia" w:eastAsiaTheme="minorEastAsia"/>
          <w:b/>
          <w:bCs/>
          <w:szCs w:val="21"/>
        </w:rPr>
        <w:t>20</w:t>
      </w:r>
      <w:r>
        <w:rPr>
          <w:rFonts w:hint="eastAsia" w:asciiTheme="minorEastAsia" w:hAnsiTheme="minorEastAsia" w:eastAsiaTheme="minorEastAsia"/>
          <w:b/>
          <w:bCs/>
          <w:szCs w:val="21"/>
          <w:lang w:val="en-US" w:eastAsia="zh-CN"/>
        </w:rPr>
        <w:t>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递交地点暨询价开始地点：</w:t>
      </w:r>
      <w:r>
        <w:rPr>
          <w:rFonts w:hint="eastAsia" w:cs="宋体" w:asciiTheme="minorEastAsia" w:hAnsiTheme="minorEastAsia" w:eastAsiaTheme="minorEastAsia"/>
          <w:kern w:val="0"/>
          <w:szCs w:val="21"/>
          <w:lang w:eastAsia="zh-CN"/>
        </w:rPr>
        <w:t>江苏尚阳工程管理有限公司</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eastAsia="zh-CN"/>
        </w:rPr>
        <w:t>常州市新北区典雅商业广场3号楼四层14号</w:t>
      </w:r>
      <w:r>
        <w:rPr>
          <w:rFonts w:hint="eastAsia" w:cs="宋体" w:asciiTheme="minorEastAsia" w:hAnsiTheme="minorEastAsia" w:eastAsiaTheme="minorEastAsia"/>
          <w:kern w:val="0"/>
          <w:szCs w:val="21"/>
        </w:rPr>
        <w:t>）</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递交的</w:t>
      </w:r>
      <w:r>
        <w:rPr>
          <w:rFonts w:hint="eastAsia" w:cs="宋体" w:asciiTheme="minorEastAsia" w:hAnsiTheme="minorEastAsia" w:eastAsiaTheme="minorEastAsia"/>
          <w:b/>
          <w:bCs/>
          <w:szCs w:val="21"/>
          <w:lang w:eastAsia="zh-CN"/>
        </w:rPr>
        <w:t>询价响应文件</w:t>
      </w:r>
      <w:r>
        <w:rPr>
          <w:rFonts w:hint="eastAsia" w:cs="宋体" w:asciiTheme="minorEastAsia" w:hAnsiTheme="minorEastAsia" w:eastAsiaTheme="minorEastAsia"/>
          <w:b/>
          <w:bCs/>
          <w:szCs w:val="21"/>
        </w:rPr>
        <w:t>概不退还。一经报名，</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网    址：</w:t>
      </w:r>
      <w:r>
        <w:rPr>
          <w:rFonts w:hint="eastAsia" w:cs="宋体" w:asciiTheme="minorEastAsia" w:hAnsiTheme="minorEastAsia" w:eastAsiaTheme="minorEastAsia"/>
          <w:szCs w:val="21"/>
          <w:lang w:eastAsia="zh-CN"/>
        </w:rPr>
        <w:t xml:space="preserve">www.czsyzb.com </w:t>
      </w:r>
      <w:r>
        <w:rPr>
          <w:rFonts w:hint="eastAsia" w:cs="宋体" w:asciiTheme="minorEastAsia" w:hAnsiTheme="minorEastAsia" w:eastAsiaTheme="minorEastAsia"/>
          <w:szCs w:val="21"/>
        </w:rPr>
        <w:t xml:space="preserve">    邮    箱：</w:t>
      </w:r>
      <w:r>
        <w:rPr>
          <w:rFonts w:hint="eastAsia" w:cs="宋体" w:asciiTheme="minorEastAsia" w:hAnsiTheme="minorEastAsia" w:eastAsiaTheme="minorEastAsia"/>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中吴人居江苏环境检测有限公司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lang w:eastAsia="zh-CN"/>
        </w:rPr>
        <w:t>江苏尚阳工程管理有限公司</w:t>
      </w:r>
    </w:p>
    <w:p>
      <w:pPr>
        <w:spacing w:line="360" w:lineRule="exact"/>
        <w:ind w:right="36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w:t>
      </w:r>
      <w:r>
        <w:rPr>
          <w:rFonts w:hint="eastAsia" w:cs="宋体" w:asciiTheme="minorEastAsia" w:hAnsiTheme="minorEastAsia" w:eastAsiaTheme="minorEastAsia"/>
          <w:szCs w:val="21"/>
          <w:lang w:val="en-US" w:eastAsia="zh-CN"/>
        </w:rPr>
        <w:t>22</w:t>
      </w:r>
      <w:r>
        <w:rPr>
          <w:rFonts w:hint="eastAsia" w:cs="宋体" w:asciiTheme="minorEastAsia" w:hAnsiTheme="minorEastAsia" w:eastAsiaTheme="minorEastAsia"/>
          <w:szCs w:val="21"/>
        </w:rPr>
        <w:t>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rPr>
        <w:t>日</w:t>
      </w:r>
    </w:p>
    <w:p>
      <w:pPr>
        <w:spacing w:line="360" w:lineRule="exact"/>
        <w:ind w:right="360"/>
        <w:jc w:val="right"/>
        <w:rPr>
          <w:rFonts w:hint="eastAsia" w:cs="宋体" w:asciiTheme="minorEastAsia" w:hAnsiTheme="minorEastAsia" w:eastAsiaTheme="minorEastAsia"/>
          <w:szCs w:val="21"/>
        </w:rPr>
      </w:pPr>
    </w:p>
    <w:p>
      <w:pPr>
        <w:spacing w:line="360" w:lineRule="exact"/>
        <w:ind w:right="360"/>
        <w:jc w:val="right"/>
        <w:rPr>
          <w:rFonts w:hint="eastAsia" w:cs="宋体" w:asciiTheme="minorEastAsia" w:hAnsiTheme="minorEastAsia" w:eastAsiaTheme="minorEastAsia"/>
          <w:szCs w:val="21"/>
        </w:rPr>
      </w:pPr>
    </w:p>
    <w:p>
      <w:pPr>
        <w:rPr>
          <w:rFonts w:hint="eastAsia" w:ascii="宋体" w:hAnsi="宋体"/>
          <w:color w:val="000000"/>
          <w:szCs w:val="21"/>
        </w:rPr>
      </w:pPr>
      <w:r>
        <w:rPr>
          <w:rFonts w:hint="eastAsia" w:ascii="宋体" w:hAnsi="宋体"/>
          <w:color w:val="000000"/>
          <w:szCs w:val="21"/>
        </w:rPr>
        <w:br w:type="page"/>
      </w:r>
    </w:p>
    <w:p>
      <w:pPr>
        <w:spacing w:line="360" w:lineRule="exact"/>
        <w:ind w:right="360"/>
        <w:jc w:val="left"/>
        <w:rPr>
          <w:rFonts w:ascii="宋体" w:hAnsi="宋体"/>
          <w:color w:val="000000"/>
          <w:sz w:val="21"/>
          <w:szCs w:val="21"/>
        </w:rPr>
      </w:pPr>
      <w:r>
        <w:rPr>
          <w:rFonts w:hint="eastAsia" w:ascii="宋体" w:hAnsi="宋体"/>
          <w:color w:val="000000"/>
          <w:szCs w:val="21"/>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法人代表人（签字或盖章）：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6"/>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ascii="宋体" w:cs="宋体" w:eastAsiaTheme="minorEastAsia"/>
          <w:color w:val="auto"/>
          <w:spacing w:val="2"/>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宋体" w:hAnsi="宋体" w:eastAsiaTheme="minorEastAsia"/>
          <w:color w:val="auto"/>
          <w:szCs w:val="21"/>
          <w:u w:val="none"/>
          <w:lang w:eastAsia="zh-CN"/>
        </w:rPr>
        <w:t>常州经济开发区规划环评监测项目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szCs w:val="21"/>
          <w:lang w:val="en-US" w:eastAsia="zh-CN"/>
        </w:rPr>
      </w:pPr>
      <w:r>
        <w:rPr>
          <w:rFonts w:hint="eastAsia" w:ascii="宋体"/>
          <w:b/>
          <w:bCs/>
          <w:szCs w:val="21"/>
        </w:rPr>
        <w:t>项目名称</w:t>
      </w:r>
      <w:r>
        <w:rPr>
          <w:rFonts w:hint="eastAsia" w:ascii="宋体"/>
          <w:b/>
          <w:bCs/>
          <w:szCs w:val="21"/>
          <w:lang w:eastAsia="zh-CN"/>
        </w:rPr>
        <w:t>：</w:t>
      </w:r>
      <w:r>
        <w:rPr>
          <w:rFonts w:hint="eastAsia" w:ascii="宋体"/>
          <w:szCs w:val="21"/>
          <w:lang w:eastAsia="zh-CN"/>
        </w:rPr>
        <w:t>常州经济开发区规划环评监测项目</w:t>
      </w:r>
      <w:r>
        <w:rPr>
          <w:rFonts w:hint="eastAsia" w:asciiTheme="minorEastAsia" w:hAnsiTheme="minorEastAsia" w:eastAsiaTheme="minorEastAsia"/>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szCs w:val="21"/>
          <w:highlight w:val="yellow"/>
          <w:lang w:eastAsia="zh-CN"/>
        </w:rPr>
      </w:pPr>
      <w:r>
        <w:rPr>
          <w:rFonts w:hint="eastAsia" w:ascii="宋体"/>
          <w:b/>
          <w:bCs/>
          <w:szCs w:val="21"/>
        </w:rPr>
        <w:t>项目编号：</w:t>
      </w:r>
      <w:r>
        <w:rPr>
          <w:rFonts w:hint="eastAsia" w:asciiTheme="minorEastAsia" w:hAnsiTheme="minorEastAsia" w:eastAsiaTheme="minorEastAsia"/>
          <w:b w:val="0"/>
          <w:bCs/>
          <w:szCs w:val="21"/>
          <w:highlight w:val="none"/>
          <w:lang w:eastAsia="zh-CN"/>
        </w:rPr>
        <w:t>SYZB-SX-2022004</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000000"/>
          <w:szCs w:val="21"/>
          <w:u w:val="single"/>
        </w:rPr>
      </w:pPr>
      <w:r>
        <w:rPr>
          <w:rFonts w:hint="eastAsia" w:asciiTheme="minorEastAsia" w:hAnsiTheme="minorEastAsia" w:eastAsiaTheme="minorEastAsia"/>
          <w:b/>
          <w:spacing w:val="2"/>
          <w:szCs w:val="21"/>
        </w:rPr>
        <w:t>项目预算及最高限价</w:t>
      </w:r>
      <w:r>
        <w:rPr>
          <w:rFonts w:hint="eastAsia" w:ascii="宋体"/>
          <w:szCs w:val="21"/>
        </w:rPr>
        <w:t>：</w:t>
      </w:r>
      <w:r>
        <w:rPr>
          <w:rFonts w:hint="eastAsia" w:ascii="宋体"/>
          <w:b w:val="0"/>
          <w:bCs/>
          <w:szCs w:val="21"/>
        </w:rPr>
        <w:t>本项目采购预算为</w:t>
      </w:r>
      <w:r>
        <w:rPr>
          <w:rFonts w:hint="eastAsia" w:ascii="宋体"/>
          <w:b w:val="0"/>
          <w:bCs/>
          <w:szCs w:val="21"/>
          <w:lang w:val="en-US" w:eastAsia="zh-CN"/>
        </w:rPr>
        <w:t>20.3</w:t>
      </w:r>
      <w:r>
        <w:rPr>
          <w:rFonts w:hint="eastAsia" w:ascii="宋体"/>
          <w:b w:val="0"/>
          <w:bCs/>
          <w:szCs w:val="21"/>
        </w:rPr>
        <w:t>万元，最高限价为</w:t>
      </w:r>
      <w:r>
        <w:rPr>
          <w:rFonts w:hint="eastAsia" w:ascii="宋体"/>
          <w:b w:val="0"/>
          <w:bCs/>
          <w:szCs w:val="21"/>
          <w:lang w:val="en-US" w:eastAsia="zh-CN"/>
        </w:rPr>
        <w:t>20.3</w:t>
      </w:r>
      <w:r>
        <w:rPr>
          <w:rFonts w:hint="eastAsia" w:ascii="宋体"/>
          <w:b w:val="0"/>
          <w:bCs/>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lang w:eastAsia="zh-CN"/>
        </w:rPr>
      </w:pPr>
      <w:r>
        <w:rPr>
          <w:rFonts w:hint="eastAsia" w:asciiTheme="minorEastAsia" w:hAnsiTheme="minorEastAsia" w:eastAsiaTheme="minorEastAsia"/>
          <w:b/>
          <w:spacing w:val="2"/>
          <w:szCs w:val="21"/>
        </w:rPr>
        <w:t>项目简要说明</w:t>
      </w:r>
      <w:r>
        <w:rPr>
          <w:rFonts w:hint="eastAsia" w:asciiTheme="minorEastAsia" w:hAnsiTheme="minorEastAsia" w:eastAsiaTheme="minorEastAsia"/>
          <w:b/>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kern w:val="0"/>
          <w:szCs w:val="21"/>
          <w:lang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常州经济开发区规划环评监测项目</w:t>
      </w:r>
      <w:r>
        <w:rPr>
          <w:rFonts w:hint="eastAsia" w:asciiTheme="minorEastAsia" w:hAnsiTheme="minorEastAsia" w:eastAsiaTheme="minorEastAsia"/>
          <w:b w:val="0"/>
          <w:bCs/>
          <w:spacing w:val="2"/>
          <w:szCs w:val="21"/>
        </w:rPr>
        <w:t>，服务内容包括但不限于按照《常州经济开发区规划环评监测方案》，开展经开区园区大气、地下水、噪声、土壤、底泥环境质量现状监测,并提供具有CMA认证的检测报告。</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kern w:val="0"/>
          <w:szCs w:val="21"/>
        </w:rPr>
      </w:pPr>
      <w:r>
        <w:rPr>
          <w:rFonts w:hint="eastAsia" w:ascii="宋体" w:cs="宋体"/>
          <w:b/>
          <w:bCs/>
          <w:kern w:val="0"/>
          <w:szCs w:val="21"/>
        </w:rPr>
        <w:t>二、</w:t>
      </w:r>
      <w:r>
        <w:rPr>
          <w:rFonts w:hint="eastAsia" w:asciiTheme="minorEastAsia" w:hAnsiTheme="minorEastAsia" w:eastAsiaTheme="minorEastAsia"/>
          <w:b/>
          <w:bCs/>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szCs w:val="21"/>
        </w:rPr>
      </w:pPr>
      <w:r>
        <w:rPr>
          <w:rFonts w:hint="eastAsia"/>
          <w:szCs w:val="21"/>
        </w:rPr>
        <w:t>详见询价公告。</w:t>
      </w:r>
    </w:p>
    <w:p>
      <w:pPr>
        <w:pStyle w:val="7"/>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szCs w:val="21"/>
          <w:lang w:eastAsia="zh-CN"/>
        </w:rPr>
      </w:pPr>
      <w:r>
        <w:rPr>
          <w:b/>
          <w:szCs w:val="21"/>
        </w:rPr>
        <w:t>采购</w:t>
      </w:r>
      <w:r>
        <w:rPr>
          <w:rFonts w:hint="eastAsia"/>
          <w:b/>
          <w:szCs w:val="21"/>
          <w:lang w:eastAsia="zh-CN"/>
        </w:rPr>
        <w:t>清单</w:t>
      </w:r>
      <w:r>
        <w:rPr>
          <w:b/>
          <w:szCs w:val="21"/>
        </w:rPr>
        <w:t>及</w:t>
      </w:r>
      <w:r>
        <w:rPr>
          <w:rFonts w:hint="eastAsia"/>
          <w:b/>
          <w:szCs w:val="21"/>
          <w:lang w:eastAsia="zh-CN"/>
        </w:rPr>
        <w:t>技术要求</w:t>
      </w:r>
    </w:p>
    <w:tbl>
      <w:tblPr>
        <w:tblStyle w:val="11"/>
        <w:tblW w:w="4999" w:type="pct"/>
        <w:jc w:val="center"/>
        <w:tblLayout w:type="autofit"/>
        <w:tblCellMar>
          <w:top w:w="0" w:type="dxa"/>
          <w:left w:w="108" w:type="dxa"/>
          <w:bottom w:w="0" w:type="dxa"/>
          <w:right w:w="108" w:type="dxa"/>
        </w:tblCellMar>
      </w:tblPr>
      <w:tblGrid>
        <w:gridCol w:w="1287"/>
        <w:gridCol w:w="842"/>
        <w:gridCol w:w="3315"/>
        <w:gridCol w:w="3076"/>
      </w:tblGrid>
      <w:tr>
        <w:tblPrEx>
          <w:tblCellMar>
            <w:top w:w="0" w:type="dxa"/>
            <w:left w:w="108" w:type="dxa"/>
            <w:bottom w:w="0" w:type="dxa"/>
            <w:right w:w="108" w:type="dxa"/>
          </w:tblCellMar>
        </w:tblPrEx>
        <w:trPr>
          <w:trHeight w:val="515" w:hRule="atLeast"/>
          <w:jc w:val="center"/>
        </w:trPr>
        <w:tc>
          <w:tcPr>
            <w:tcW w:w="7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监测对象</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0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点位</w:t>
            </w:r>
          </w:p>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1945" w:type="pct"/>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因子</w:t>
            </w:r>
          </w:p>
        </w:tc>
        <w:tc>
          <w:tcPr>
            <w:tcW w:w="1804" w:type="pct"/>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监测要求</w:t>
            </w:r>
          </w:p>
        </w:tc>
      </w:tr>
      <w:tr>
        <w:tblPrEx>
          <w:tblCellMar>
            <w:top w:w="0" w:type="dxa"/>
            <w:left w:w="108" w:type="dxa"/>
            <w:bottom w:w="0" w:type="dxa"/>
            <w:right w:w="108" w:type="dxa"/>
          </w:tblCellMar>
        </w:tblPrEx>
        <w:trPr>
          <w:trHeight w:val="272" w:hRule="atLeast"/>
          <w:jc w:val="center"/>
        </w:trPr>
        <w:tc>
          <w:tcPr>
            <w:tcW w:w="7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大气环境现状监测</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94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硫酸雾、氯化氢、氨、硫化氢、VOCs（苯、甲苯、二甲苯、苯乙烯单独列出）、甲醛，铬酸雾，非甲烷总烃、臭气浓度</w:t>
            </w:r>
          </w:p>
        </w:tc>
        <w:tc>
          <w:tcPr>
            <w:tcW w:w="180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连续监测7天，每天4次，每次采样时间不少于45min</w:t>
            </w:r>
            <w:r>
              <w:rPr>
                <w:rFonts w:hint="eastAsia" w:asciiTheme="minorEastAsia" w:hAnsiTheme="minorEastAsia" w:eastAsiaTheme="minorEastAsia" w:cstheme="minorEastAsia"/>
                <w:sz w:val="21"/>
                <w:szCs w:val="21"/>
                <w:lang w:eastAsia="zh-CN"/>
              </w:rPr>
              <w:t>，监测时间必须满足《环境监测技术规范》(大气部分)的要求。采样监测同时记录风向、风速、气压、气温等常规气象要素。</w:t>
            </w:r>
          </w:p>
        </w:tc>
      </w:tr>
      <w:tr>
        <w:tblPrEx>
          <w:tblCellMar>
            <w:top w:w="0" w:type="dxa"/>
            <w:left w:w="108" w:type="dxa"/>
            <w:bottom w:w="0" w:type="dxa"/>
            <w:right w:w="108" w:type="dxa"/>
          </w:tblCellMar>
        </w:tblPrEx>
        <w:trPr>
          <w:trHeight w:val="551" w:hRule="atLeast"/>
          <w:jc w:val="center"/>
        </w:trPr>
        <w:tc>
          <w:tcPr>
            <w:tcW w:w="755"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地下水环境现状监测</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5</w:t>
            </w:r>
          </w:p>
        </w:tc>
        <w:tc>
          <w:tcPr>
            <w:tcW w:w="19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水位、色度、pH、K</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、Na</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、Ca</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、Mg</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、CO</w:t>
            </w:r>
            <w:r>
              <w:rPr>
                <w:rFonts w:hint="eastAsia" w:asciiTheme="minorEastAsia" w:hAnsiTheme="minorEastAsia" w:eastAsiaTheme="minorEastAsia" w:cstheme="minorEastAsia"/>
                <w:sz w:val="21"/>
                <w:szCs w:val="21"/>
                <w:vertAlign w:val="subscript"/>
              </w:rPr>
              <w:t>3</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、HCO</w:t>
            </w:r>
            <w:r>
              <w:rPr>
                <w:rFonts w:hint="eastAsia" w:asciiTheme="minorEastAsia" w:hAnsiTheme="minorEastAsia" w:eastAsiaTheme="minorEastAsia" w:cstheme="minorEastAsia"/>
                <w:sz w:val="21"/>
                <w:szCs w:val="21"/>
                <w:vertAlign w:val="subscript"/>
              </w:rPr>
              <w:t>3</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、Cl</w:t>
            </w:r>
            <w:r>
              <w:rPr>
                <w:rFonts w:hint="eastAsia" w:asciiTheme="minorEastAsia" w:hAnsiTheme="minorEastAsia" w:eastAsiaTheme="minorEastAsia" w:cstheme="minorEastAsia"/>
                <w:sz w:val="21"/>
                <w:szCs w:val="21"/>
                <w:vertAlign w:val="superscript"/>
              </w:rPr>
              <w:t>-</w:t>
            </w:r>
            <w:r>
              <w:rPr>
                <w:rFonts w:hint="eastAsia" w:asciiTheme="minorEastAsia" w:hAnsiTheme="minorEastAsia" w:eastAsiaTheme="minorEastAsia" w:cstheme="minorEastAsia"/>
                <w:sz w:val="21"/>
                <w:szCs w:val="21"/>
              </w:rPr>
              <w:t>、SO</w:t>
            </w:r>
            <w:r>
              <w:rPr>
                <w:rFonts w:hint="eastAsia" w:asciiTheme="minorEastAsia" w:hAnsiTheme="minorEastAsia" w:eastAsiaTheme="minorEastAsia" w:cstheme="minorEastAsia"/>
                <w:sz w:val="21"/>
                <w:szCs w:val="21"/>
                <w:vertAlign w:val="subscript"/>
              </w:rPr>
              <w:t>4</w:t>
            </w:r>
            <w:r>
              <w:rPr>
                <w:rFonts w:hint="eastAsia" w:asciiTheme="minorEastAsia" w:hAnsiTheme="minorEastAsia" w:eastAsiaTheme="minorEastAsia" w:cstheme="minorEastAsia"/>
                <w:sz w:val="21"/>
                <w:szCs w:val="21"/>
                <w:vertAlign w:val="superscript"/>
              </w:rPr>
              <w:t>2-</w:t>
            </w:r>
            <w:r>
              <w:rPr>
                <w:rFonts w:hint="eastAsia" w:asciiTheme="minorEastAsia" w:hAnsiTheme="minorEastAsia" w:eastAsiaTheme="minorEastAsia" w:cstheme="minorEastAsia"/>
                <w:sz w:val="21"/>
                <w:szCs w:val="21"/>
              </w:rPr>
              <w:t>、pH、氨氮、亚硝酸盐、硝酸盐、挥发性酚类、氰化物、砷、汞、铬（六价）、总硬度、铅、氟化物、镉、铁、锰、溶解性固体、高锰酸盐指数、铜、锌、铝、硫化物、总大肠菌群、细菌总数</w:t>
            </w:r>
          </w:p>
        </w:tc>
        <w:tc>
          <w:tcPr>
            <w:tcW w:w="18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监测一天，每天监测一次。</w:t>
            </w:r>
          </w:p>
        </w:tc>
      </w:tr>
      <w:tr>
        <w:tblPrEx>
          <w:tblCellMar>
            <w:top w:w="0" w:type="dxa"/>
            <w:left w:w="108" w:type="dxa"/>
            <w:bottom w:w="0" w:type="dxa"/>
            <w:right w:w="108" w:type="dxa"/>
          </w:tblCellMar>
        </w:tblPrEx>
        <w:trPr>
          <w:trHeight w:val="595" w:hRule="atLeast"/>
          <w:jc w:val="center"/>
        </w:trPr>
        <w:tc>
          <w:tcPr>
            <w:tcW w:w="755"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9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水位</w:t>
            </w:r>
          </w:p>
        </w:tc>
        <w:tc>
          <w:tcPr>
            <w:tcW w:w="18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监测一天，每天监测一次。</w:t>
            </w:r>
          </w:p>
        </w:tc>
      </w:tr>
      <w:tr>
        <w:tblPrEx>
          <w:tblCellMar>
            <w:top w:w="0" w:type="dxa"/>
            <w:left w:w="108" w:type="dxa"/>
            <w:bottom w:w="0" w:type="dxa"/>
            <w:right w:w="108" w:type="dxa"/>
          </w:tblCellMar>
        </w:tblPrEx>
        <w:trPr>
          <w:trHeight w:val="272" w:hRule="atLeast"/>
          <w:jc w:val="center"/>
        </w:trPr>
        <w:tc>
          <w:tcPr>
            <w:tcW w:w="75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噪声环境现状监测</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17</w:t>
            </w:r>
          </w:p>
        </w:tc>
        <w:tc>
          <w:tcPr>
            <w:tcW w:w="194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w:t>
            </w:r>
          </w:p>
        </w:tc>
        <w:tc>
          <w:tcPr>
            <w:tcW w:w="18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连续监测两天，昼间、夜间各监测一次。</w:t>
            </w:r>
          </w:p>
        </w:tc>
      </w:tr>
      <w:tr>
        <w:tblPrEx>
          <w:tblCellMar>
            <w:top w:w="0" w:type="dxa"/>
            <w:left w:w="108" w:type="dxa"/>
            <w:bottom w:w="0" w:type="dxa"/>
            <w:right w:w="108" w:type="dxa"/>
          </w:tblCellMar>
        </w:tblPrEx>
        <w:trPr>
          <w:trHeight w:val="2126" w:hRule="atLeast"/>
          <w:jc w:val="center"/>
        </w:trPr>
        <w:tc>
          <w:tcPr>
            <w:tcW w:w="755"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土壤环境现状监测</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945" w:type="pct"/>
            <w:vMerge w:val="restart"/>
            <w:tcBorders>
              <w:top w:val="single" w:color="000000" w:sz="4" w:space="0"/>
              <w:left w:val="single" w:color="000000" w:sz="4" w:space="0"/>
              <w:right w:val="single" w:color="000000" w:sz="4" w:space="0"/>
            </w:tcBorders>
            <w:noWrap w:val="0"/>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镉、汞、砷、铜、铅、六价铬、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石油烃</w:t>
            </w:r>
          </w:p>
        </w:tc>
        <w:tc>
          <w:tcPr>
            <w:tcW w:w="180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3个点为</w:t>
            </w:r>
            <w:r>
              <w:rPr>
                <w:rFonts w:hint="eastAsia" w:asciiTheme="minorEastAsia" w:hAnsiTheme="minorEastAsia" w:eastAsiaTheme="minorEastAsia" w:cstheme="minorEastAsia"/>
                <w:sz w:val="21"/>
                <w:szCs w:val="21"/>
              </w:rPr>
              <w:t>表层样</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在0~0.2m取样</w:t>
            </w:r>
            <w:r>
              <w:rPr>
                <w:rFonts w:hint="eastAsia" w:asciiTheme="minorEastAsia" w:hAnsiTheme="minorEastAsia" w:eastAsiaTheme="minorEastAsia" w:cstheme="minorEastAsia"/>
                <w:sz w:val="21"/>
                <w:szCs w:val="21"/>
                <w:lang w:eastAsia="zh-CN"/>
              </w:rPr>
              <w:t>，</w:t>
            </w:r>
          </w:p>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监测一天，每天监测一次。</w:t>
            </w:r>
          </w:p>
        </w:tc>
      </w:tr>
      <w:tr>
        <w:tblPrEx>
          <w:tblCellMar>
            <w:top w:w="0" w:type="dxa"/>
            <w:left w:w="108" w:type="dxa"/>
            <w:bottom w:w="0" w:type="dxa"/>
            <w:right w:w="108" w:type="dxa"/>
          </w:tblCellMar>
        </w:tblPrEx>
        <w:trPr>
          <w:trHeight w:val="300" w:hRule="atLeast"/>
          <w:jc w:val="center"/>
        </w:trPr>
        <w:tc>
          <w:tcPr>
            <w:tcW w:w="755"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945" w:type="pct"/>
            <w:vMerge w:val="continue"/>
            <w:tcBorders>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rPr>
            </w:pPr>
          </w:p>
        </w:tc>
        <w:tc>
          <w:tcPr>
            <w:tcW w:w="180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3个点为</w:t>
            </w:r>
            <w:r>
              <w:rPr>
                <w:rFonts w:hint="eastAsia" w:asciiTheme="minorEastAsia" w:hAnsiTheme="minorEastAsia" w:eastAsiaTheme="minorEastAsia" w:cstheme="minorEastAsia"/>
                <w:sz w:val="21"/>
                <w:szCs w:val="21"/>
              </w:rPr>
              <w:t>柱状样</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在0~0.5m、0.5~1.5m、1.5~3m、3~6m各取一个样</w:t>
            </w:r>
            <w:r>
              <w:rPr>
                <w:rFonts w:hint="eastAsia" w:asciiTheme="minorEastAsia" w:hAnsiTheme="minorEastAsia" w:eastAsiaTheme="minorEastAsia" w:cstheme="minorEastAsia"/>
                <w:sz w:val="21"/>
                <w:szCs w:val="21"/>
                <w:lang w:eastAsia="zh-CN"/>
              </w:rPr>
              <w:t>，</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监测一天，每天监测一次。</w:t>
            </w:r>
          </w:p>
        </w:tc>
      </w:tr>
      <w:tr>
        <w:tblPrEx>
          <w:tblCellMar>
            <w:top w:w="0" w:type="dxa"/>
            <w:left w:w="108" w:type="dxa"/>
            <w:bottom w:w="0" w:type="dxa"/>
            <w:right w:w="108" w:type="dxa"/>
          </w:tblCellMar>
        </w:tblPrEx>
        <w:trPr>
          <w:trHeight w:val="272" w:hRule="atLeast"/>
          <w:jc w:val="center"/>
        </w:trPr>
        <w:tc>
          <w:tcPr>
            <w:tcW w:w="75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底泥环境现状监测</w:t>
            </w:r>
          </w:p>
        </w:tc>
        <w:tc>
          <w:tcPr>
            <w:tcW w:w="49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94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化学指标：土壤环境质量标准45项+pH+石油烃；</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物理指标：力学性质、质地、含水率、粒径等</w:t>
            </w:r>
          </w:p>
        </w:tc>
        <w:tc>
          <w:tcPr>
            <w:tcW w:w="1804"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监测一天，每天监测一次。</w:t>
            </w: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（一）技术要求：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sz w:val="21"/>
          <w:szCs w:val="21"/>
          <w:highlight w:val="none"/>
        </w:rPr>
      </w:pPr>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rPr>
        <w:t>按照</w:t>
      </w:r>
      <w:r>
        <w:rPr>
          <w:rFonts w:hint="eastAsia" w:ascii="宋体" w:hAnsi="宋体" w:cs="宋体"/>
          <w:sz w:val="21"/>
          <w:szCs w:val="21"/>
          <w:highlight w:val="none"/>
          <w:lang w:val="en-US" w:eastAsia="zh-CN"/>
        </w:rPr>
        <w:t>《常州经济开发区规划环评监测方案》</w:t>
      </w:r>
      <w:r>
        <w:rPr>
          <w:rFonts w:hint="eastAsia" w:ascii="宋体" w:hAnsi="宋体" w:eastAsia="宋体" w:cs="宋体"/>
          <w:b w:val="0"/>
          <w:bCs w:val="0"/>
          <w:sz w:val="21"/>
          <w:szCs w:val="21"/>
          <w:highlight w:val="none"/>
        </w:rPr>
        <w:t>，开展经开区园区环境质量现状监测，并提供具有</w:t>
      </w:r>
      <w:r>
        <w:rPr>
          <w:rFonts w:hint="eastAsia" w:ascii="宋体" w:hAnsi="宋体" w:eastAsia="宋体" w:cs="宋体"/>
          <w:b w:val="0"/>
          <w:bCs w:val="0"/>
          <w:sz w:val="21"/>
          <w:szCs w:val="21"/>
          <w:highlight w:val="none"/>
          <w:lang w:val="en-US" w:eastAsia="en-US"/>
        </w:rPr>
        <w:t>CMA</w:t>
      </w:r>
      <w:r>
        <w:rPr>
          <w:rFonts w:hint="eastAsia" w:ascii="宋体" w:hAnsi="宋体" w:eastAsia="宋体" w:cs="宋体"/>
          <w:b w:val="0"/>
          <w:bCs w:val="0"/>
          <w:sz w:val="21"/>
          <w:szCs w:val="21"/>
          <w:highlight w:val="none"/>
        </w:rPr>
        <w:t>认证的检测报告，检测报告应根据</w:t>
      </w:r>
      <w:r>
        <w:rPr>
          <w:rFonts w:hint="eastAsia" w:ascii="宋体" w:hAnsi="宋体" w:cs="宋体"/>
          <w:b w:val="0"/>
          <w:bCs w:val="0"/>
          <w:sz w:val="21"/>
          <w:szCs w:val="21"/>
          <w:highlight w:val="none"/>
          <w:lang w:eastAsia="zh-CN"/>
        </w:rPr>
        <w:t>采购人</w:t>
      </w:r>
      <w:r>
        <w:rPr>
          <w:rFonts w:hint="eastAsia" w:ascii="宋体" w:hAnsi="宋体" w:eastAsia="宋体" w:cs="宋体"/>
          <w:b w:val="0"/>
          <w:bCs w:val="0"/>
          <w:sz w:val="21"/>
          <w:szCs w:val="21"/>
          <w:highlight w:val="none"/>
        </w:rPr>
        <w:t>提供的执行标准进行评价</w:t>
      </w:r>
      <w:r>
        <w:rPr>
          <w:rFonts w:hint="eastAsia" w:ascii="宋体" w:hAnsi="宋体" w:cs="宋体"/>
          <w:b w:val="0"/>
          <w:bCs w:val="0"/>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由</w:t>
      </w:r>
      <w:r>
        <w:rPr>
          <w:rFonts w:hint="eastAsia" w:ascii="宋体" w:hAnsi="宋体" w:cs="宋体"/>
          <w:b w:val="0"/>
          <w:bCs w:val="0"/>
          <w:sz w:val="21"/>
          <w:szCs w:val="21"/>
          <w:highlight w:val="none"/>
          <w:lang w:val="en-US" w:eastAsia="zh-CN"/>
        </w:rPr>
        <w:t>采购人</w:t>
      </w:r>
      <w:r>
        <w:rPr>
          <w:rFonts w:hint="eastAsia" w:ascii="宋体" w:hAnsi="宋体" w:eastAsia="宋体" w:cs="宋体"/>
          <w:b w:val="0"/>
          <w:bCs w:val="0"/>
          <w:sz w:val="21"/>
          <w:szCs w:val="21"/>
          <w:highlight w:val="none"/>
          <w:lang w:val="en-US" w:eastAsia="zh-CN"/>
        </w:rPr>
        <w:t>出具检测方案，</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根据</w:t>
      </w:r>
      <w:r>
        <w:rPr>
          <w:rFonts w:hint="eastAsia" w:ascii="宋体" w:hAnsi="宋体" w:cs="宋体"/>
          <w:b w:val="0"/>
          <w:bCs w:val="0"/>
          <w:sz w:val="21"/>
          <w:szCs w:val="21"/>
          <w:highlight w:val="none"/>
          <w:lang w:val="en-US" w:eastAsia="zh-CN"/>
        </w:rPr>
        <w:t>采购人</w:t>
      </w:r>
      <w:r>
        <w:rPr>
          <w:rFonts w:hint="eastAsia" w:ascii="宋体" w:hAnsi="宋体" w:eastAsia="宋体" w:cs="宋体"/>
          <w:b w:val="0"/>
          <w:bCs w:val="0"/>
          <w:sz w:val="21"/>
          <w:szCs w:val="21"/>
          <w:highlight w:val="none"/>
          <w:lang w:val="en-US" w:eastAsia="zh-CN"/>
        </w:rPr>
        <w:t>检测方案开展现场采样及检测记录，并规范填写采样及检测记录单。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按国家相关要求进行检测，提供质量控制相关资料，对数据真实性、准确性、有效性负责。数据出现异常，及时与</w:t>
      </w:r>
      <w:r>
        <w:rPr>
          <w:rFonts w:hint="eastAsia" w:ascii="宋体" w:hAnsi="宋体" w:cs="宋体"/>
          <w:b w:val="0"/>
          <w:bCs w:val="0"/>
          <w:sz w:val="21"/>
          <w:szCs w:val="21"/>
          <w:highlight w:val="none"/>
          <w:lang w:val="en-US" w:eastAsia="zh-CN"/>
        </w:rPr>
        <w:t>采购方</w:t>
      </w:r>
      <w:r>
        <w:rPr>
          <w:rFonts w:hint="eastAsia" w:ascii="宋体" w:hAnsi="宋体" w:eastAsia="宋体" w:cs="宋体"/>
          <w:b w:val="0"/>
          <w:bCs w:val="0"/>
          <w:sz w:val="21"/>
          <w:szCs w:val="21"/>
          <w:highlight w:val="none"/>
          <w:lang w:val="en-US" w:eastAsia="zh-CN"/>
        </w:rPr>
        <w:t>技术人员沟通，并提供异常数据复核、图谱分析等服务。</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eastAsiaTheme="minorEastAsia"/>
          <w:b/>
          <w:szCs w:val="21"/>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根据合同约定的服务时限出具检测数据及检测结果，对检测数据分类汇总，并及时编制数据汇总表格提供</w:t>
      </w:r>
      <w:r>
        <w:rPr>
          <w:rFonts w:hint="eastAsia" w:ascii="宋体" w:hAnsi="宋体" w:cs="宋体"/>
          <w:b w:val="0"/>
          <w:bCs w:val="0"/>
          <w:sz w:val="21"/>
          <w:szCs w:val="21"/>
          <w:highlight w:val="none"/>
          <w:lang w:val="en-US" w:eastAsia="zh-CN"/>
        </w:rPr>
        <w:t>采购人</w:t>
      </w:r>
      <w:r>
        <w:rPr>
          <w:rFonts w:hint="eastAsia" w:ascii="宋体" w:hAnsi="宋体" w:eastAsia="宋体" w:cs="宋体"/>
          <w:b w:val="0"/>
          <w:bCs w:val="0"/>
          <w:sz w:val="21"/>
          <w:szCs w:val="21"/>
          <w:highlight w:val="none"/>
          <w:lang w:val="en-US" w:eastAsia="zh-CN"/>
        </w:rPr>
        <w:t>。</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eastAsia="zh-CN"/>
        </w:rPr>
        <w:t>二</w:t>
      </w:r>
      <w:r>
        <w:rPr>
          <w:rFonts w:hint="eastAsia" w:ascii="宋体" w:hAnsi="宋体"/>
          <w:b/>
          <w:szCs w:val="21"/>
        </w:rPr>
        <w:t>）</w:t>
      </w:r>
      <w:r>
        <w:rPr>
          <w:rFonts w:hint="eastAsia" w:ascii="宋体"/>
          <w:b/>
          <w:bCs/>
          <w:szCs w:val="21"/>
        </w:rPr>
        <w:t>服务期限：</w:t>
      </w:r>
      <w:r>
        <w:rPr>
          <w:rFonts w:hint="eastAsia" w:ascii="宋体" w:hAnsi="宋体" w:cs="宋体"/>
          <w:bCs/>
          <w:color w:val="auto"/>
          <w:szCs w:val="21"/>
        </w:rPr>
        <w:t>取得</w:t>
      </w:r>
      <w:r>
        <w:rPr>
          <w:rFonts w:hint="eastAsia" w:ascii="宋体" w:hAnsi="宋体" w:cs="宋体"/>
          <w:bCs/>
          <w:color w:val="auto"/>
          <w:szCs w:val="21"/>
          <w:lang w:val="en-US" w:eastAsia="zh-CN"/>
        </w:rPr>
        <w:t>成交</w:t>
      </w:r>
      <w:r>
        <w:rPr>
          <w:rFonts w:hint="eastAsia" w:ascii="宋体" w:hAnsi="宋体" w:cs="宋体"/>
          <w:bCs/>
          <w:color w:val="auto"/>
          <w:szCs w:val="21"/>
        </w:rPr>
        <w:t>通知书后，根据</w:t>
      </w:r>
      <w:r>
        <w:rPr>
          <w:rFonts w:hint="eastAsia" w:ascii="宋体" w:hAnsi="宋体" w:cs="宋体"/>
          <w:bCs/>
          <w:color w:val="auto"/>
          <w:szCs w:val="21"/>
          <w:lang w:val="en-US" w:eastAsia="zh-CN"/>
        </w:rPr>
        <w:t>采购人</w:t>
      </w:r>
      <w:r>
        <w:rPr>
          <w:rFonts w:hint="eastAsia" w:ascii="宋体" w:hAnsi="宋体" w:cs="宋体"/>
          <w:bCs/>
          <w:color w:val="auto"/>
          <w:szCs w:val="21"/>
        </w:rPr>
        <w:t>通知安排进场检测，采样检测结束后5日内提供经审核的检测数据；采样结束后10日内提供具有CMA认证的检测报告。</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eastAsia="zh-CN"/>
        </w:rPr>
        <w:t>三</w:t>
      </w:r>
      <w:r>
        <w:rPr>
          <w:rFonts w:hint="eastAsia" w:ascii="宋体" w:hAnsi="宋体"/>
          <w:b/>
          <w:szCs w:val="21"/>
        </w:rPr>
        <w:t>）</w:t>
      </w:r>
      <w:r>
        <w:rPr>
          <w:rFonts w:hint="eastAsia" w:ascii="宋体" w:hAnsi="宋体"/>
          <w:b/>
          <w:bCs w:val="0"/>
          <w:kern w:val="0"/>
          <w:szCs w:val="21"/>
          <w:lang w:val="en-US" w:eastAsia="zh-CN"/>
        </w:rPr>
        <w:t>服务</w:t>
      </w:r>
      <w:r>
        <w:rPr>
          <w:rFonts w:hint="eastAsia" w:ascii="宋体" w:hAnsi="宋体"/>
          <w:b/>
          <w:bCs w:val="0"/>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spacing w:line="360" w:lineRule="exact"/>
        <w:ind w:right="210" w:firstLine="422" w:firstLineChars="200"/>
        <w:jc w:val="left"/>
        <w:rPr>
          <w:rFonts w:ascii="宋体" w:hAnsi="宋体" w:cs="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w:t>
      </w:r>
      <w:r>
        <w:rPr>
          <w:rFonts w:hint="eastAsia" w:ascii="宋体"/>
          <w:b/>
          <w:bCs/>
          <w:szCs w:val="21"/>
        </w:rPr>
        <w:t>技术规范</w:t>
      </w:r>
      <w:r>
        <w:rPr>
          <w:rFonts w:hint="eastAsia" w:ascii="宋体" w:hAnsi="宋体" w:cs="宋体"/>
          <w:b/>
          <w:szCs w:val="21"/>
        </w:rPr>
        <w:t>：</w:t>
      </w:r>
      <w:r>
        <w:rPr>
          <w:rFonts w:hint="eastAsia" w:ascii="宋体" w:hAnsi="宋体" w:cs="宋体"/>
          <w:bCs/>
          <w:color w:val="auto"/>
          <w:szCs w:val="21"/>
        </w:rPr>
        <w:t>依据现行有效的相关检测标准及检测规范实施现场工作。</w:t>
      </w:r>
    </w:p>
    <w:p>
      <w:pPr>
        <w:spacing w:line="360" w:lineRule="exact"/>
        <w:ind w:right="210" w:firstLine="422" w:firstLineChars="200"/>
        <w:jc w:val="left"/>
        <w:rPr>
          <w:rFonts w:hint="eastAsia" w:ascii="宋体" w:hAnsi="宋体"/>
          <w:b/>
          <w:bCs/>
          <w:color w:val="auto"/>
          <w:szCs w:val="21"/>
          <w:lang w:val="en-US" w:eastAsia="zh-CN"/>
        </w:rPr>
      </w:pPr>
      <w:r>
        <w:rPr>
          <w:rFonts w:hint="eastAsia" w:ascii="宋体" w:hAnsi="宋体"/>
          <w:b/>
          <w:bCs/>
          <w:color w:val="auto"/>
          <w:szCs w:val="21"/>
        </w:rPr>
        <w:t>（</w:t>
      </w:r>
      <w:r>
        <w:rPr>
          <w:rFonts w:hint="eastAsia" w:ascii="宋体" w:hAnsi="宋体"/>
          <w:b/>
          <w:bCs/>
          <w:color w:val="auto"/>
          <w:szCs w:val="21"/>
          <w:lang w:eastAsia="zh-CN"/>
        </w:rPr>
        <w:t>五</w:t>
      </w:r>
      <w:r>
        <w:rPr>
          <w:rFonts w:hint="eastAsia" w:ascii="宋体" w:hAnsi="宋体"/>
          <w:b/>
          <w:bCs/>
          <w:color w:val="auto"/>
          <w:szCs w:val="21"/>
        </w:rPr>
        <w:t>）付款方式</w:t>
      </w:r>
      <w:r>
        <w:rPr>
          <w:rFonts w:hint="eastAsia" w:ascii="宋体" w:hAnsi="宋体"/>
          <w:b/>
          <w:bCs/>
          <w:color w:val="auto"/>
          <w:szCs w:val="21"/>
          <w:lang w:val="en-US" w:eastAsia="zh-CN"/>
        </w:rPr>
        <w:t>:</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1.成交供应商按合同完成现场全部工作并提供全部技术资料（盖章件），采购人项目通过验收后，成交供应商方可申请本项目结算。</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2.本项目最终结算价格，按照实际工作量，根据工作量清单单价表中检测因子、单价进行核算。超出清单范围的工作内容需经采购人书面确认方可纳入结算范围。</w:t>
      </w:r>
    </w:p>
    <w:p>
      <w:pPr>
        <w:spacing w:line="360" w:lineRule="exact"/>
        <w:ind w:right="210" w:firstLine="420" w:firstLineChars="200"/>
        <w:jc w:val="left"/>
        <w:rPr>
          <w:rFonts w:hint="eastAsia" w:ascii="宋体" w:hAnsi="宋体"/>
          <w:color w:val="auto"/>
          <w:szCs w:val="21"/>
          <w:lang w:val="en-US" w:eastAsia="zh-CN"/>
        </w:rPr>
      </w:pPr>
      <w:r>
        <w:rPr>
          <w:rFonts w:hint="eastAsia" w:ascii="宋体" w:hAnsi="宋体"/>
          <w:b w:val="0"/>
          <w:bCs w:val="0"/>
          <w:color w:val="auto"/>
          <w:szCs w:val="21"/>
          <w:lang w:val="en-US" w:eastAsia="zh-CN"/>
        </w:rPr>
        <w:t>3.采购人确认成交供应商结算申请且具备结算条件后，由成交供应商开具正式发票，采购人以支票、现金或银行转账等方式一次性付清。</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（一）资格证明材料（提供复印件并</w:t>
      </w:r>
      <w:r>
        <w:rPr>
          <w:rFonts w:ascii="宋体" w:cs="宋体"/>
          <w:b/>
          <w:bCs/>
          <w:kern w:val="0"/>
          <w:szCs w:val="21"/>
        </w:rPr>
        <w:t>加</w:t>
      </w:r>
      <w:r>
        <w:rPr>
          <w:rFonts w:hint="eastAsia" w:ascii="宋体" w:cs="宋体"/>
          <w:b/>
          <w:bCs/>
          <w:kern w:val="0"/>
          <w:szCs w:val="21"/>
        </w:rPr>
        <w:t>盖公章）</w:t>
      </w:r>
    </w:p>
    <w:p>
      <w:pPr>
        <w:keepNext w:val="0"/>
        <w:keepLines w:val="0"/>
        <w:pageBreakBefore w:val="0"/>
        <w:kinsoku/>
        <w:wordWrap/>
        <w:overflowPunct/>
        <w:topLinePunct w:val="0"/>
        <w:autoSpaceDE/>
        <w:autoSpaceDN/>
        <w:bidi w:val="0"/>
        <w:spacing w:line="360" w:lineRule="exact"/>
        <w:ind w:firstLine="422" w:firstLineChars="200"/>
        <w:textAlignment w:val="auto"/>
        <w:rPr>
          <w:b/>
          <w:bCs w:val="0"/>
        </w:rPr>
      </w:pPr>
      <w:r>
        <w:rPr>
          <w:rFonts w:hint="eastAsia" w:ascii="宋体" w:cs="宋体"/>
          <w:b/>
          <w:bCs w:val="0"/>
          <w:kern w:val="0"/>
          <w:szCs w:val="21"/>
        </w:rPr>
        <w:t>1.</w:t>
      </w:r>
      <w:r>
        <w:rPr>
          <w:rFonts w:hint="eastAsia" w:cs="宋体" w:asciiTheme="minorEastAsia" w:hAnsiTheme="minorEastAsia" w:eastAsiaTheme="minorEastAsia"/>
          <w:b/>
          <w:bCs w:val="0"/>
          <w:color w:val="000000"/>
          <w:szCs w:val="21"/>
        </w:rPr>
        <w:t xml:space="preserve"> 一般资格证明</w:t>
      </w:r>
      <w:r>
        <w:rPr>
          <w:rFonts w:cs="宋体" w:asciiTheme="minorEastAsia" w:hAnsiTheme="minorEastAsia" w:eastAsiaTheme="minorEastAsia"/>
          <w:b/>
          <w:bCs w:val="0"/>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）响应函（附件1）</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）营业执照副本</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rPr>
        <w:t>）</w:t>
      </w:r>
      <w:r>
        <w:rPr>
          <w:rFonts w:hint="eastAsia" w:cs="宋体"/>
          <w:szCs w:val="21"/>
        </w:rPr>
        <w:t>法定代表人资格证明书、法定代表人身份证复印件（双面</w:t>
      </w:r>
      <w:r>
        <w:rPr>
          <w:rFonts w:hint="eastAsia" w:asciiTheme="minorEastAsia" w:hAnsiTheme="minorEastAsia" w:eastAsiaTheme="minorEastAsia" w:cstheme="minorEastAsia"/>
          <w:szCs w:val="21"/>
        </w:rPr>
        <w:t>）（附件2）</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）授权委托书、代理人身份证复印件（双面）</w:t>
      </w:r>
      <w:r>
        <w:rPr>
          <w:rFonts w:hint="eastAsia" w:asciiTheme="minorEastAsia" w:hAnsiTheme="minorEastAsia" w:eastAsiaTheme="minorEastAsia" w:cstheme="minorEastAsia"/>
          <w:szCs w:val="21"/>
        </w:rPr>
        <w:t>（附件</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szCs w:val="21"/>
        </w:rPr>
      </w:pPr>
      <w:r>
        <w:rPr>
          <w:rFonts w:hint="eastAsia" w:ascii="宋体" w:cs="宋体"/>
          <w:bCs/>
          <w:kern w:val="0"/>
          <w:szCs w:val="21"/>
        </w:rPr>
        <w:t>★（5）</w:t>
      </w:r>
      <w:r>
        <w:rPr>
          <w:rFonts w:hint="eastAsia" w:ascii="宋体"/>
          <w:szCs w:val="21"/>
        </w:rPr>
        <w:t>保证金单据</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rPr>
      </w:pPr>
      <w:r>
        <w:rPr>
          <w:rFonts w:hint="eastAsia" w:ascii="宋体" w:cs="宋体"/>
          <w:b/>
          <w:bCs/>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3</w:t>
      </w:r>
      <w:r>
        <w:rPr>
          <w:rFonts w:ascii="宋体" w:cs="宋体"/>
          <w:bCs/>
          <w:kern w:val="0"/>
          <w:szCs w:val="21"/>
        </w:rPr>
        <w:t>.</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4</w:t>
      </w:r>
      <w:r>
        <w:rPr>
          <w:rFonts w:ascii="宋体" w:cs="宋体"/>
          <w:bCs/>
          <w:kern w:val="0"/>
          <w:szCs w:val="21"/>
        </w:rPr>
        <w:t>.</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中复印件需加盖公章。</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cs="宋体"/>
          <w:bCs/>
          <w:kern w:val="0"/>
          <w:szCs w:val="21"/>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w:t>
      </w:r>
      <w:r>
        <w:rPr>
          <w:rFonts w:hint="eastAsia" w:ascii="宋体" w:cs="宋体"/>
          <w:b/>
          <w:kern w:val="0"/>
          <w:szCs w:val="21"/>
        </w:rPr>
        <w:t>正本壹份、副本贰份、</w:t>
      </w:r>
      <w:r>
        <w:rPr>
          <w:rFonts w:hint="eastAsia" w:ascii="宋体" w:cs="宋体"/>
          <w:b/>
          <w:color w:val="auto"/>
          <w:kern w:val="0"/>
          <w:szCs w:val="21"/>
        </w:rPr>
        <w:t>光盘壹份</w:t>
      </w:r>
      <w:r>
        <w:rPr>
          <w:rFonts w:ascii="宋体" w:cs="宋体"/>
          <w:color w:val="auto"/>
          <w:kern w:val="0"/>
          <w:szCs w:val="21"/>
        </w:rPr>
        <w:t>，</w:t>
      </w:r>
      <w:r>
        <w:rPr>
          <w:rFonts w:hint="eastAsia" w:ascii="宋体" w:cs="宋体"/>
          <w:kern w:val="0"/>
          <w:szCs w:val="21"/>
        </w:rPr>
        <w:t>均</w:t>
      </w:r>
      <w:r>
        <w:rPr>
          <w:rFonts w:ascii="宋体" w:cs="宋体"/>
          <w:kern w:val="0"/>
          <w:szCs w:val="21"/>
        </w:rPr>
        <w:t>应装订成册</w:t>
      </w:r>
      <w:r>
        <w:rPr>
          <w:rFonts w:hint="eastAsia" w:ascii="宋体" w:cs="宋体"/>
          <w:kern w:val="0"/>
          <w:szCs w:val="21"/>
        </w:rPr>
        <w:t>，</w:t>
      </w:r>
      <w:r>
        <w:rPr>
          <w:rFonts w:hint="eastAsia" w:ascii="宋体" w:hAnsi="宋体" w:cs="宋体"/>
          <w:b/>
          <w:szCs w:val="21"/>
        </w:rPr>
        <w:t>正本和副本均应当密封，</w:t>
      </w:r>
      <w:r>
        <w:rPr>
          <w:rFonts w:hint="eastAsia" w:ascii="宋体" w:hAnsi="宋体" w:cs="宋体"/>
          <w:b/>
          <w:szCs w:val="21"/>
          <w:lang w:eastAsia="zh-CN"/>
        </w:rPr>
        <w:t>电子光盘或U盘</w:t>
      </w:r>
      <w:r>
        <w:rPr>
          <w:rFonts w:hint="eastAsia" w:ascii="宋体" w:hAnsi="宋体" w:cs="宋体"/>
          <w:b/>
          <w:szCs w:val="21"/>
        </w:rPr>
        <w:t>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hint="eastAsia" w:ascii="宋体" w:cs="Arial"/>
          <w:b/>
          <w:szCs w:val="21"/>
        </w:rPr>
      </w:pPr>
      <w:r>
        <w:rPr>
          <w:rFonts w:hint="eastAsia" w:ascii="宋体" w:cs="Arial"/>
          <w:b/>
          <w:szCs w:val="21"/>
        </w:rPr>
        <w:t>五、报价要求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rPr>
        <w:t>1.参照《江苏省环境监测专业服务管理办法》、《江苏省环境监测专业服务收费标准》（苏价费[2006]397号）和《省物价局、省财政厅关于降低收费标准和实施收费减免的通知》报价。价格包含委托范围提供相应的服务、采样、报告编制、人员（包括工资和补贴）、车辆、办公场所及设施、保险、劳保、差旅、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采购人</w:t>
      </w:r>
      <w:r>
        <w:rPr>
          <w:rFonts w:hint="eastAsia" w:ascii="宋体" w:cs="Arial"/>
          <w:color w:val="auto"/>
          <w:szCs w:val="21"/>
        </w:rPr>
        <w:t>不再支付其他任何费用。</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color w:val="000000"/>
          <w:szCs w:val="21"/>
        </w:rPr>
        <w:t>2.</w:t>
      </w:r>
      <w:r>
        <w:rPr>
          <w:rFonts w:hint="eastAsia" w:ascii="宋体" w:hAnsi="宋体" w:cs="宋体"/>
          <w:b/>
          <w:bCs w:val="0"/>
          <w:color w:val="auto"/>
          <w:szCs w:val="21"/>
        </w:rPr>
        <w:t>本项目的最高限价为</w:t>
      </w:r>
      <w:r>
        <w:rPr>
          <w:rFonts w:hint="eastAsia" w:ascii="宋体" w:hAnsi="宋体" w:cs="宋体"/>
          <w:b/>
          <w:bCs w:val="0"/>
          <w:color w:val="auto"/>
          <w:szCs w:val="21"/>
          <w:lang w:val="en-US" w:eastAsia="zh-CN"/>
        </w:rPr>
        <w:t>20.3万</w:t>
      </w:r>
      <w:r>
        <w:rPr>
          <w:rFonts w:hint="eastAsia" w:ascii="宋体" w:hAnsi="宋体" w:cs="宋体"/>
          <w:b/>
          <w:bCs w:val="0"/>
          <w:color w:val="auto"/>
          <w:szCs w:val="21"/>
        </w:rPr>
        <w:t>元</w:t>
      </w:r>
      <w:r>
        <w:rPr>
          <w:rFonts w:hint="eastAsia" w:ascii="宋体" w:hAnsi="宋体" w:cs="宋体"/>
          <w:b/>
          <w:color w:val="auto"/>
          <w:szCs w:val="21"/>
        </w:rPr>
        <w:t>，</w:t>
      </w:r>
      <w:r>
        <w:rPr>
          <w:rFonts w:hint="eastAsia" w:ascii="宋体" w:hAnsi="宋体" w:cs="宋体"/>
          <w:b/>
          <w:color w:val="000000"/>
          <w:szCs w:val="21"/>
        </w:rPr>
        <w:t>报价高于最高限价的作为无效响应处理。</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w:t>
      </w:r>
      <w:r>
        <w:rPr>
          <w:rFonts w:hint="eastAsia" w:ascii="宋体" w:cs="宋体"/>
          <w:b/>
          <w:bCs/>
          <w:kern w:val="0"/>
          <w:szCs w:val="21"/>
        </w:rPr>
        <w:t>最低评标价法</w:t>
      </w:r>
      <w:r>
        <w:rPr>
          <w:rFonts w:hint="eastAsia" w:ascii="宋体" w:cs="宋体"/>
          <w:kern w:val="0"/>
          <w:szCs w:val="21"/>
        </w:rPr>
        <w:t>，即在满足询价通知书实质性要求，并符合采购需求、质量和服务相等的前提下，以提出最低报价的供应商作为成交供应商。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szCs w:val="21"/>
        </w:rPr>
        <w:t>代理机构将成交结果在</w:t>
      </w:r>
      <w:r>
        <w:rPr>
          <w:rFonts w:hint="eastAsia" w:ascii="宋体" w:hAnsi="宋体" w:cs="宋体"/>
          <w:szCs w:val="21"/>
          <w:lang w:eastAsia="zh-CN"/>
        </w:rPr>
        <w:t>江苏尚阳工程管理有限公司</w:t>
      </w:r>
      <w:r>
        <w:rPr>
          <w:rFonts w:hint="eastAsia" w:ascii="宋体" w:hAnsi="宋体" w:cs="宋体"/>
          <w:szCs w:val="21"/>
        </w:rPr>
        <w:t>网站上予以公告。公告期限为1个工作日。</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八</w:t>
      </w:r>
      <w:r>
        <w:rPr>
          <w:rFonts w:hint="eastAsia" w:ascii="宋体" w:hAnsi="宋体" w:cs="宋体"/>
          <w:b/>
          <w:szCs w:val="21"/>
        </w:rPr>
        <w:t>、成交通知书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九</w:t>
      </w:r>
      <w:r>
        <w:rPr>
          <w:rFonts w:hint="eastAsia" w:ascii="宋体" w:hAnsi="宋体" w:cs="宋体"/>
          <w:b/>
          <w:szCs w:val="21"/>
        </w:rPr>
        <w:t>、代理机构服务费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szCs w:val="21"/>
        </w:rPr>
      </w:pP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w:t>
      </w:r>
      <w:r>
        <w:rPr>
          <w:rFonts w:ascii="宋体" w:hAnsi="宋体" w:cs="宋体"/>
          <w:b/>
          <w:szCs w:val="21"/>
        </w:rPr>
        <w:t>供应商承担</w:t>
      </w:r>
      <w:r>
        <w:rPr>
          <w:rFonts w:hint="eastAsia" w:ascii="宋体" w:hAnsi="宋体" w:cs="宋体"/>
          <w:b/>
          <w:szCs w:val="21"/>
        </w:rPr>
        <w:t>，成交</w:t>
      </w:r>
      <w:r>
        <w:rPr>
          <w:rFonts w:ascii="宋体" w:hAnsi="宋体" w:cs="宋体"/>
          <w:b/>
          <w:szCs w:val="21"/>
        </w:rPr>
        <w:t>供应商</w:t>
      </w:r>
      <w:r>
        <w:rPr>
          <w:rFonts w:hint="eastAsia" w:ascii="宋体" w:hAnsi="宋体" w:cs="宋体"/>
          <w:b/>
          <w:szCs w:val="21"/>
        </w:rPr>
        <w:t>应在领取成交通知书时将成交服务费付至</w:t>
      </w:r>
      <w:r>
        <w:rPr>
          <w:rFonts w:hint="eastAsia" w:ascii="宋体" w:hAnsi="宋体" w:cs="宋体"/>
          <w:b/>
          <w:szCs w:val="21"/>
          <w:lang w:eastAsia="zh-CN"/>
        </w:rPr>
        <w:t>采购代理机构</w:t>
      </w:r>
      <w:r>
        <w:rPr>
          <w:rFonts w:hint="eastAsia" w:ascii="宋体" w:hAnsi="宋体" w:cs="宋体"/>
          <w:b/>
          <w:szCs w:val="21"/>
        </w:rPr>
        <w:t>收取询价保证金的帐户</w:t>
      </w:r>
      <w:r>
        <w:rPr>
          <w:rFonts w:hint="eastAsia" w:ascii="宋体" w:hAnsi="宋体" w:cs="宋体"/>
          <w:b/>
          <w:szCs w:val="21"/>
          <w:lang w:val="en-US" w:eastAsia="zh-CN"/>
        </w:rPr>
        <w:t>并备注项目编号</w:t>
      </w:r>
      <w:r>
        <w:rPr>
          <w:rFonts w:hint="eastAsia" w:ascii="宋体" w:hAnsi="宋体" w:cs="宋体"/>
          <w:b/>
          <w:szCs w:val="21"/>
        </w:rPr>
        <w:t>。</w:t>
      </w:r>
      <w:r>
        <w:rPr>
          <w:rFonts w:ascii="宋体" w:hAnsi="宋体" w:cs="宋体"/>
          <w:b/>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 xml:space="preserve">（1）成交服务收费按差额定率累进法计算。 </w:t>
      </w:r>
    </w:p>
    <w:p>
      <w:pPr>
        <w:spacing w:line="360" w:lineRule="exact"/>
        <w:ind w:firstLine="420"/>
        <w:rPr>
          <w:rFonts w:hint="eastAsia" w:ascii="宋体" w:hAnsi="宋体" w:cs="宋体"/>
          <w:szCs w:val="21"/>
        </w:rPr>
      </w:pPr>
      <w:r>
        <w:rPr>
          <w:rFonts w:hint="eastAsia" w:ascii="宋体" w:hAnsi="宋体" w:cs="宋体"/>
          <w:szCs w:val="21"/>
        </w:rPr>
        <w:t>（2）成交服务收费按上述计算方法不足人民币3000元的，按人民币3000元收取。</w:t>
      </w:r>
    </w:p>
    <w:p>
      <w:pPr>
        <w:spacing w:line="360" w:lineRule="exact"/>
        <w:ind w:firstLine="420"/>
        <w:rPr>
          <w:rFonts w:hAnsi="宋体" w:cs="宋体"/>
          <w:b/>
          <w:sz w:val="21"/>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）评委费由</w:t>
      </w:r>
      <w:r>
        <w:rPr>
          <w:rFonts w:hint="eastAsia" w:ascii="宋体" w:hAnsi="宋体" w:cs="宋体"/>
          <w:szCs w:val="21"/>
          <w:lang w:eastAsia="zh-CN"/>
        </w:rPr>
        <w:t>成交供应商</w:t>
      </w:r>
      <w:r>
        <w:rPr>
          <w:rFonts w:hint="eastAsia" w:ascii="宋体" w:hAnsi="宋体" w:cs="宋体"/>
          <w:szCs w:val="21"/>
        </w:rPr>
        <w:t>按实支付给</w:t>
      </w:r>
      <w:r>
        <w:rPr>
          <w:rFonts w:hint="eastAsia" w:ascii="宋体" w:hAnsi="宋体" w:cs="宋体"/>
          <w:szCs w:val="21"/>
          <w:lang w:eastAsia="zh-CN"/>
        </w:rPr>
        <w:t>采购代理机构</w:t>
      </w:r>
      <w:r>
        <w:rPr>
          <w:rFonts w:hint="eastAsia" w:ascii="宋体" w:hAnsi="宋体" w:cs="宋体"/>
          <w:szCs w:val="21"/>
        </w:rPr>
        <w:t>。</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ascii="宋体" w:hAnsi="宋体" w:cs="宋体"/>
          <w:b/>
          <w:color w:val="auto"/>
          <w:szCs w:val="21"/>
          <w:highlight w:val="none"/>
        </w:rPr>
        <w:t>履约保证金</w:t>
      </w:r>
    </w:p>
    <w:p>
      <w:pPr>
        <w:pStyle w:val="4"/>
        <w:overflowPunct w:val="0"/>
        <w:spacing w:line="360" w:lineRule="exact"/>
        <w:ind w:firstLine="436" w:firstLineChars="208"/>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成交供应商应</w:t>
      </w:r>
      <w:r>
        <w:rPr>
          <w:rFonts w:hint="eastAsia" w:hAnsi="宋体" w:cs="宋体"/>
          <w:bCs/>
          <w:color w:val="auto"/>
          <w:sz w:val="21"/>
          <w:szCs w:val="21"/>
          <w:highlight w:val="none"/>
        </w:rPr>
        <w:t>在合同签订前</w:t>
      </w:r>
      <w:r>
        <w:rPr>
          <w:rFonts w:hint="eastAsia" w:hAnsi="宋体" w:cs="宋体"/>
          <w:color w:val="auto"/>
          <w:sz w:val="21"/>
          <w:szCs w:val="21"/>
          <w:highlight w:val="none"/>
        </w:rPr>
        <w:t>向</w:t>
      </w:r>
      <w:r>
        <w:rPr>
          <w:rFonts w:hint="eastAsia" w:hAnsi="宋体" w:cs="宋体"/>
          <w:b/>
          <w:color w:val="auto"/>
          <w:sz w:val="21"/>
          <w:szCs w:val="21"/>
          <w:highlight w:val="none"/>
        </w:rPr>
        <w:t>采购人</w:t>
      </w:r>
      <w:r>
        <w:rPr>
          <w:rFonts w:hint="eastAsia" w:hAnsi="宋体" w:cs="宋体"/>
          <w:color w:val="auto"/>
          <w:sz w:val="21"/>
          <w:szCs w:val="21"/>
          <w:highlight w:val="none"/>
        </w:rPr>
        <w:t>提供金额为合同总价格</w:t>
      </w:r>
      <w:r>
        <w:rPr>
          <w:rFonts w:hAnsi="宋体" w:cs="宋体"/>
          <w:color w:val="auto"/>
          <w:sz w:val="21"/>
          <w:szCs w:val="21"/>
          <w:highlight w:val="none"/>
        </w:rPr>
        <w:t>5%</w:t>
      </w:r>
      <w:r>
        <w:rPr>
          <w:rFonts w:hint="eastAsia" w:hAnsi="宋体" w:cs="宋体"/>
          <w:color w:val="auto"/>
          <w:sz w:val="21"/>
          <w:szCs w:val="21"/>
          <w:highlight w:val="none"/>
        </w:rPr>
        <w:t>的履约保证金。</w:t>
      </w:r>
    </w:p>
    <w:p>
      <w:pPr>
        <w:spacing w:line="360" w:lineRule="exact"/>
        <w:ind w:firstLine="420" w:firstLineChars="200"/>
        <w:rPr>
          <w:rFonts w:hint="eastAsia" w:hAnsi="宋体" w:cs="宋体"/>
          <w:b/>
          <w:sz w:val="21"/>
          <w:szCs w:val="21"/>
        </w:rPr>
      </w:pPr>
      <w:r>
        <w:rPr>
          <w:rFonts w:hAnsi="宋体" w:cs="宋体"/>
          <w:color w:val="auto"/>
          <w:sz w:val="21"/>
          <w:szCs w:val="21"/>
          <w:highlight w:val="none"/>
        </w:rPr>
        <w:t>2.</w:t>
      </w:r>
      <w:r>
        <w:rPr>
          <w:rFonts w:hint="eastAsia" w:hAnsi="宋体" w:cs="宋体"/>
          <w:b/>
          <w:color w:val="auto"/>
          <w:sz w:val="21"/>
          <w:szCs w:val="21"/>
          <w:highlight w:val="none"/>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lang w:eastAsia="zh-CN"/>
        </w:rPr>
        <w:t>十</w:t>
      </w:r>
      <w:r>
        <w:rPr>
          <w:rFonts w:hint="eastAsia" w:ascii="宋体" w:hAnsi="宋体" w:cs="宋体"/>
          <w:b/>
          <w:szCs w:val="21"/>
          <w:lang w:val="en-US" w:eastAsia="zh-CN"/>
        </w:rPr>
        <w:t>一</w:t>
      </w:r>
      <w:r>
        <w:rPr>
          <w:rFonts w:hint="eastAsia" w:ascii="宋体" w:hAnsi="宋体" w:cs="宋体"/>
          <w:b/>
          <w:szCs w:val="21"/>
        </w:rPr>
        <w:t>、合同签订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asciiTheme="minorEastAsia" w:hAnsiTheme="minorEastAsia" w:eastAsiaTheme="minorEastAsia" w:cstheme="minorEastAsia"/>
          <w:b/>
          <w:bCs/>
          <w:szCs w:val="21"/>
        </w:rPr>
      </w:pPr>
      <w:r>
        <w:rPr>
          <w:rFonts w:hint="eastAsia" w:ascii="宋体" w:cs="宋体"/>
          <w:b/>
          <w:bCs/>
          <w:kern w:val="0"/>
          <w:szCs w:val="21"/>
        </w:rPr>
        <w:t>十</w:t>
      </w:r>
      <w:r>
        <w:rPr>
          <w:rFonts w:hint="eastAsia" w:ascii="宋体" w:cs="宋体"/>
          <w:b/>
          <w:bCs/>
          <w:kern w:val="0"/>
          <w:szCs w:val="21"/>
          <w:lang w:val="en-US"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ascii="宋体" w:hAnsi="宋体" w:cs="宋体"/>
          <w:color w:val="000000"/>
          <w:szCs w:val="21"/>
        </w:rPr>
      </w:pPr>
      <w:r>
        <w:rPr>
          <w:rFonts w:hint="eastAsia" w:ascii="宋体" w:hAnsi="宋体" w:cs="宋体"/>
          <w:b/>
          <w:color w:val="000000"/>
          <w:szCs w:val="21"/>
          <w:lang w:val="zh-CN"/>
        </w:rPr>
        <w:t>采购人</w:t>
      </w:r>
      <w:r>
        <w:rPr>
          <w:rFonts w:ascii="宋体" w:hAnsi="宋体" w:cs="宋体"/>
          <w:b/>
          <w:color w:val="000000"/>
          <w:szCs w:val="21"/>
          <w:lang w:val="zh-CN"/>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lang w:val="zh-CN"/>
        </w:rPr>
        <w:t>甲</w:t>
      </w:r>
      <w:r>
        <w:rPr>
          <w:rFonts w:hint="eastAsia" w:ascii="宋体" w:hAnsi="宋体" w:cs="宋体"/>
          <w:b/>
          <w:color w:val="000000"/>
          <w:szCs w:val="21"/>
        </w:rPr>
        <w:t xml:space="preserve">方）: </w:t>
      </w:r>
      <w:r>
        <w:rPr>
          <w:rFonts w:ascii="宋体" w:hAnsi="宋体" w:cs="宋体"/>
          <w:b/>
          <w:color w:val="000000"/>
          <w:szCs w:val="21"/>
        </w:rPr>
        <w:t xml:space="preserve">                      </w:t>
      </w:r>
      <w:r>
        <w:rPr>
          <w:rFonts w:hint="eastAsia" w:ascii="宋体" w:hAnsi="宋体" w:cs="宋体" w:eastAsiaTheme="minorEastAsia"/>
          <w:color w:val="000000"/>
          <w:szCs w:val="21"/>
        </w:rPr>
        <w:t>合同编号：</w:t>
      </w:r>
    </w:p>
    <w:p>
      <w:pPr>
        <w:spacing w:line="400" w:lineRule="exact"/>
        <w:ind w:firstLine="422" w:firstLineChars="200"/>
        <w:rPr>
          <w:rFonts w:ascii="宋体" w:hAnsi="宋体" w:cs="宋体"/>
          <w:color w:val="000000"/>
          <w:szCs w:val="21"/>
          <w:u w:val="single"/>
        </w:rPr>
      </w:pPr>
      <w:r>
        <w:rPr>
          <w:rFonts w:hint="eastAsia" w:ascii="宋体" w:hAnsi="宋体" w:cs="宋体"/>
          <w:b/>
          <w:color w:val="000000"/>
          <w:szCs w:val="21"/>
        </w:rPr>
        <w:t>供应商</w:t>
      </w:r>
      <w:r>
        <w:rPr>
          <w:rFonts w:ascii="宋体" w:hAnsi="宋体" w:cs="宋体"/>
          <w:b/>
          <w:color w:val="000000"/>
          <w:szCs w:val="21"/>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rPr>
        <w:t>乙方</w:t>
      </w:r>
      <w:r>
        <w:rPr>
          <w:rFonts w:ascii="宋体" w:hAnsi="宋体" w:cs="宋体"/>
          <w:b/>
          <w:color w:val="000000"/>
          <w:szCs w:val="21"/>
        </w:rPr>
        <w:t>）</w:t>
      </w:r>
      <w:r>
        <w:rPr>
          <w:rFonts w:hint="eastAsia" w:ascii="宋体" w:hAnsi="宋体" w:cs="宋体"/>
          <w:b/>
          <w:color w:val="000000"/>
          <w:szCs w:val="21"/>
        </w:rPr>
        <w:t xml:space="preserve">: </w:t>
      </w:r>
      <w:r>
        <w:rPr>
          <w:rFonts w:ascii="宋体" w:hAnsi="宋体" w:cs="宋体"/>
          <w:b/>
          <w:color w:val="000000"/>
          <w:szCs w:val="21"/>
        </w:rPr>
        <w:t xml:space="preserve">                      </w:t>
      </w:r>
      <w:r>
        <w:rPr>
          <w:rFonts w:hint="eastAsia" w:ascii="宋体" w:hAnsi="宋体" w:cs="宋体"/>
          <w:color w:val="000000"/>
          <w:szCs w:val="21"/>
        </w:rPr>
        <w:t>签订地点：</w:t>
      </w:r>
    </w:p>
    <w:p>
      <w:pPr>
        <w:autoSpaceDE w:val="0"/>
        <w:autoSpaceDN w:val="0"/>
        <w:adjustRightInd w:val="0"/>
        <w:spacing w:line="400" w:lineRule="exact"/>
        <w:ind w:firstLine="4620" w:firstLineChars="2200"/>
        <w:rPr>
          <w:rFonts w:ascii="宋体" w:hAnsi="宋体" w:cs="宋体"/>
          <w:b/>
          <w:color w:val="000000"/>
          <w:szCs w:val="21"/>
        </w:rPr>
      </w:pPr>
      <w:r>
        <w:rPr>
          <w:rFonts w:hint="eastAsia" w:ascii="宋体" w:cs="宋体"/>
          <w:color w:val="000000"/>
          <w:szCs w:val="21"/>
        </w:rPr>
        <w:t xml:space="preserve">合同时间: </w:t>
      </w:r>
      <w:r>
        <w:rPr>
          <w:rFonts w:hint="eastAsia" w:ascii="宋体" w:cs="宋体"/>
          <w:color w:val="000000"/>
          <w:szCs w:val="21"/>
          <w:u w:val="single"/>
        </w:rPr>
        <w:t xml:space="preserve">    年   月   日</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甲乙双方依据《</w:t>
      </w:r>
      <w:r>
        <w:rPr>
          <w:rFonts w:hint="eastAsia" w:cs="宋体" w:asciiTheme="minorEastAsia" w:hAnsiTheme="minorEastAsia"/>
          <w:color w:val="000000"/>
          <w:sz w:val="21"/>
          <w:szCs w:val="21"/>
          <w:lang w:eastAsia="zh-CN"/>
        </w:rPr>
        <w:t>中华人民共和国民法典</w:t>
      </w:r>
      <w:r>
        <w:rPr>
          <w:rFonts w:hint="eastAsia" w:cs="宋体" w:asciiTheme="minorEastAsia" w:hAnsiTheme="minorEastAsia" w:eastAsiaTheme="minorEastAsia"/>
          <w:color w:val="000000"/>
          <w:szCs w:val="21"/>
        </w:rPr>
        <w:t>》以及有关法律、法规的规定，经协商一致，订立本合同，以便共同遵守。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w:t>
      </w:r>
      <w:r>
        <w:rPr>
          <w:rFonts w:hint="eastAsia" w:cs="宋体" w:asciiTheme="minorEastAsia" w:hAnsiTheme="minorEastAsia" w:eastAsiaTheme="minorEastAsia"/>
          <w:color w:val="000000"/>
          <w:kern w:val="0"/>
          <w:szCs w:val="21"/>
          <w:lang w:val="en-US" w:eastAsia="zh-CN"/>
        </w:rPr>
        <w:t>参照《江苏省环境监测专业服务管理办法》、《江苏省环境监测专业服务收费标准》（苏价费[2006]397号）和《省物价局、省财政厅关于降低收费标准和实施收费减免的通知》报价。价格包含委托范围提供相应的服务、采样、报告编制、人员（包括工资和补贴）、车辆、办公场所及设施、保险、劳保、差旅、各种税费、利润、税金、政策性文件规定及合同包含的所有风险、责任等各项应有费用，以及为完成该项服务项目所涉及到的一切相关费用，甲方不再支付其他任何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第二条 合同价格</w:t>
      </w:r>
    </w:p>
    <w:p>
      <w:pPr>
        <w:spacing w:line="360" w:lineRule="exact"/>
        <w:ind w:firstLine="422" w:firstLineChars="200"/>
        <w:jc w:val="left"/>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签约合同总价（人民币，下同）：</w:t>
      </w:r>
      <w:r>
        <w:rPr>
          <w:rFonts w:hint="eastAsia" w:cs="宋体" w:asciiTheme="minorEastAsia" w:hAnsiTheme="minorEastAsia" w:eastAsiaTheme="minorEastAsia"/>
          <w:b/>
          <w:color w:val="000000"/>
          <w:szCs w:val="21"/>
          <w:u w:val="single"/>
        </w:rPr>
        <w:t xml:space="preserve">             元</w:t>
      </w:r>
      <w:r>
        <w:rPr>
          <w:rFonts w:hint="eastAsia" w:cs="宋体" w:asciiTheme="minorEastAsia" w:hAnsiTheme="minorEastAsia" w:eastAsiaTheme="minorEastAsia"/>
          <w:b/>
          <w:color w:val="000000"/>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本合同总价款还包含乙方应当提供的售后服务费用。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第三条 组成本合同的有关文件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（1）询价通知书（编号：   ）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（2）乙方提供的询价响应文件； </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3</w:t>
      </w:r>
      <w:r>
        <w:rPr>
          <w:rFonts w:hint="eastAsia" w:cs="宋体" w:asciiTheme="minorEastAsia" w:hAnsiTheme="minorEastAsia" w:eastAsiaTheme="minorEastAsia"/>
          <w:color w:val="000000"/>
          <w:szCs w:val="21"/>
        </w:rPr>
        <w:t xml:space="preserve">）成交通知书；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1.乙方应按询价通知书的约定提供相应的履约保证金</w:t>
      </w:r>
      <w:r>
        <w:rPr>
          <w:rFonts w:hint="eastAsia" w:asciiTheme="minorEastAsia" w:hAnsiTheme="minorEastAsia" w:eastAsiaTheme="minorEastAsia"/>
          <w:szCs w:val="21"/>
          <w:lang w:eastAsia="zh-CN"/>
        </w:rPr>
        <w:t>。</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2.如乙方未能履行合同规定的义务，甲方有权从履约保证金中</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五</w:t>
      </w:r>
      <w:r>
        <w:rPr>
          <w:rFonts w:hint="eastAsia" w:asciiTheme="minorEastAsia" w:hAnsiTheme="minorEastAsia" w:eastAsiaTheme="minorEastAsia"/>
          <w:b/>
          <w:szCs w:val="21"/>
        </w:rPr>
        <w:t>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lang w:eastAsia="zh-CN"/>
        </w:rPr>
        <w:t>按实结算</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.付款方式：</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）乙方按合同完成现场全部工作并提供全部技术资料（盖章件），甲方项目通过验收后，乙方方可申请本项目结算。</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）本项目最终结算价格，按照实际工作量，根据工作量清单单价表中检测因子、单价进行核算。超出清单范围的工作内容需经甲方书面确认方可纳入结算范围。</w:t>
      </w:r>
    </w:p>
    <w:p>
      <w:pPr>
        <w:adjustRightInd w:val="0"/>
        <w:snapToGrid w:val="0"/>
        <w:spacing w:line="360" w:lineRule="exact"/>
        <w:ind w:firstLine="420" w:firstLineChars="20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lang w:eastAsia="zh-CN"/>
        </w:rPr>
        <w:t>）甲方确认乙方结算申请且具备结算条件后，由乙方开具正式发票，甲方以支票、现金或银行转账等方式一次性付清。</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六</w:t>
      </w:r>
      <w:r>
        <w:rPr>
          <w:rFonts w:hint="eastAsia" w:asciiTheme="minorEastAsia" w:hAnsiTheme="minorEastAsia" w:eastAsiaTheme="minorEastAsia"/>
          <w:b/>
          <w:color w:val="auto"/>
          <w:szCs w:val="21"/>
        </w:rPr>
        <w:t>条 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1.如乙方不能按约定进行服务的，甲方有权解除合同，乙方交纳的全部履约保证金不予退还，同时有权要求乙方按照合同总价5%的标准支付违约金，解除合同的通知自发出之日生效。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ajorEastAsia" w:hAnsiTheme="majorEastAsia" w:eastAsiaTheme="majorEastAsia" w:cstheme="majorEastAsia"/>
        </w:rPr>
      </w:pP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4.乙方未按本合同的规定和“服务承诺”提供伴随服务的，甲方有权提前解除本合同，同时乙方应按合同总价款的5 %向甲方承担违约责任。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5.乙方在承担上述一项或多项违约责任后，仍应继续履行合同规定的义务（甲方解除合同的除外）。甲方未能及时追究乙方的任何一项违约责任并不表明甲方放弃追究乙方该项或其他违约责任。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6.乙方投标属虚假承诺，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7</w:t>
      </w:r>
      <w:r>
        <w:rPr>
          <w:rFonts w:hint="eastAsia" w:asciiTheme="majorEastAsia" w:hAnsiTheme="majorEastAsia" w:eastAsiaTheme="majorEastAsia" w:cstheme="majorEastAsia"/>
        </w:rPr>
        <w:t>.其他未尽事宜，以《</w:t>
      </w:r>
      <w:r>
        <w:rPr>
          <w:rFonts w:hint="eastAsia" w:cs="宋体" w:asciiTheme="minorEastAsia" w:hAnsiTheme="minorEastAsia"/>
          <w:color w:val="000000"/>
          <w:sz w:val="21"/>
          <w:szCs w:val="21"/>
          <w:lang w:eastAsia="zh-CN"/>
        </w:rPr>
        <w:t>中华人民共和国民法典</w:t>
      </w:r>
      <w:r>
        <w:rPr>
          <w:rFonts w:hint="eastAsia" w:asciiTheme="majorEastAsia" w:hAnsiTheme="majorEastAsia" w:eastAsiaTheme="majorEastAsia" w:cstheme="majorEastAsia"/>
        </w:rPr>
        <w:t>》等有关法律法规规定为准，无相关规定的，双方协商解决。</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七</w:t>
      </w:r>
      <w:r>
        <w:rPr>
          <w:rFonts w:hint="eastAsia" w:asciiTheme="majorEastAsia" w:hAnsiTheme="majorEastAsia" w:eastAsiaTheme="majorEastAsia" w:cstheme="majorEastAsia"/>
          <w:b/>
          <w:szCs w:val="21"/>
        </w:rPr>
        <w:t>条 合同的变更和终止</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1.本合同一经签订，甲乙双方不得擅自变更、中止或终止合同。</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八</w:t>
      </w:r>
      <w:r>
        <w:rPr>
          <w:rFonts w:hint="eastAsia" w:asciiTheme="majorEastAsia" w:hAnsiTheme="majorEastAsia" w:eastAsiaTheme="majorEastAsia" w:cstheme="majorEastAsia"/>
          <w:b/>
          <w:szCs w:val="21"/>
        </w:rPr>
        <w:t>条 合同的转让</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乙方不得擅自部分或全部转让其应履行的合同义务。</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九</w:t>
      </w:r>
      <w:r>
        <w:rPr>
          <w:rFonts w:hint="eastAsia" w:asciiTheme="majorEastAsia" w:hAnsiTheme="majorEastAsia" w:eastAsiaTheme="majorEastAsia" w:cstheme="majorEastAsia"/>
          <w:b/>
          <w:szCs w:val="21"/>
        </w:rPr>
        <w:t>条 不可抗力</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ajorEastAsia" w:hAnsiTheme="majorEastAsia" w:eastAsiaTheme="majorEastAsia" w:cstheme="majorEastAsia"/>
          <w:szCs w:val="21"/>
        </w:rPr>
        <w:t>甲、乙方中任何一方，因不可抗力不能按时或完全履行合同的，应及时通知对方，并在</w:t>
      </w:r>
      <w:r>
        <w:rPr>
          <w:rFonts w:hint="eastAsia" w:asciiTheme="majorEastAsia" w:hAnsiTheme="majorEastAsia" w:eastAsiaTheme="majorEastAsia" w:cstheme="majorEastAsia"/>
          <w:szCs w:val="21"/>
          <w:u w:val="single"/>
        </w:rPr>
        <w:t xml:space="preserve">   个</w:t>
      </w:r>
      <w:r>
        <w:rPr>
          <w:rFonts w:hint="eastAsia" w:asciiTheme="majorEastAsia" w:hAnsiTheme="majorEastAsia" w:eastAsiaTheme="majorEastAsia" w:cstheme="majorEastAsia"/>
          <w:szCs w:val="21"/>
        </w:rPr>
        <w:t>工作日内提供相应证明。未履行完合同部分是否继续履行、如何履行等问题，可由双方初步协商，并向主管部门报告。确定</w:t>
      </w:r>
      <w:r>
        <w:rPr>
          <w:rFonts w:hint="eastAsia" w:asciiTheme="minorEastAsia" w:hAnsiTheme="minorEastAsia" w:eastAsiaTheme="minorEastAsia"/>
          <w:szCs w:val="21"/>
        </w:rPr>
        <w:t>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十</w:t>
      </w:r>
      <w:r>
        <w:rPr>
          <w:rFonts w:hint="eastAsia" w:asciiTheme="minorEastAsia" w:hAnsiTheme="minorEastAsia" w:eastAsiaTheme="minorEastAsia"/>
          <w:b/>
          <w:color w:val="auto"/>
          <w:szCs w:val="21"/>
        </w:rPr>
        <w:t xml:space="preserve">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一</w:t>
      </w:r>
      <w:r>
        <w:rPr>
          <w:rFonts w:hint="eastAsia" w:asciiTheme="minorEastAsia" w:hAnsiTheme="minorEastAsia" w:eastAsiaTheme="minorEastAsia"/>
          <w:b/>
          <w:szCs w:val="21"/>
        </w:rPr>
        <w:t>条 争议的解决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二</w:t>
      </w:r>
      <w:r>
        <w:rPr>
          <w:rFonts w:hint="eastAsia" w:asciiTheme="minorEastAsia" w:hAnsiTheme="minorEastAsia" w:eastAsiaTheme="minorEastAsia"/>
          <w:b/>
          <w:szCs w:val="21"/>
        </w:rPr>
        <w:t xml:space="preserve">条 诚实信用 </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lang w:eastAsia="zh-CN"/>
        </w:rPr>
        <w:t>条</w:t>
      </w:r>
      <w:r>
        <w:rPr>
          <w:rFonts w:hint="eastAsia" w:asciiTheme="minorEastAsia" w:hAnsiTheme="minorEastAsia" w:eastAsiaTheme="minorEastAsia"/>
          <w:b/>
          <w:szCs w:val="21"/>
        </w:rPr>
        <w:t xml:space="preserve"> 合同生效及其他</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w:t>
      </w:r>
      <w:r>
        <w:rPr>
          <w:rFonts w:hint="eastAsia" w:asciiTheme="minorEastAsia" w:hAnsiTheme="minorEastAsia" w:eastAsiaTheme="minorEastAsia"/>
          <w:szCs w:val="21"/>
          <w:lang w:eastAsia="zh-CN"/>
        </w:rPr>
        <w:t>见证方</w:t>
      </w:r>
      <w:r>
        <w:rPr>
          <w:rFonts w:hint="eastAsia" w:asciiTheme="minorEastAsia" w:hAnsiTheme="minorEastAsia" w:eastAsiaTheme="minorEastAsia"/>
          <w:szCs w:val="21"/>
        </w:rPr>
        <w:t>执壹份存档。</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甲    方：                               乙    方：</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单位名称（章）：                          单位名称（章）：</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单位地址：                               单位地址：</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电话：                                   电话：            传真：</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传真：                                   开户银行：        帐号：                                                                                 </w:t>
      </w:r>
    </w:p>
    <w:p>
      <w:pPr>
        <w:spacing w:line="360" w:lineRule="exact"/>
        <w:ind w:firstLine="420" w:firstLineChars="200"/>
        <w:rPr>
          <w:rFonts w:hint="eastAsia" w:asciiTheme="minorEastAsia" w:hAnsiTheme="minorEastAsia" w:eastAsiaTheme="minorEastAsia"/>
          <w:szCs w:val="21"/>
        </w:rPr>
      </w:pP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见证方：</w:t>
      </w:r>
    </w:p>
    <w:p>
      <w:pPr>
        <w:spacing w:line="360" w:lineRule="exact"/>
        <w:ind w:firstLine="420" w:firstLineChars="200"/>
        <w:rPr>
          <w:rFonts w:hint="eastAsia" w:asciiTheme="minorEastAsia" w:hAnsiTheme="minorEastAsia" w:eastAsiaTheme="minorEastAsia"/>
          <w:b/>
          <w:bCs/>
          <w:szCs w:val="21"/>
          <w:u w:val="single"/>
          <w:lang w:eastAsia="zh-CN"/>
        </w:rPr>
      </w:pPr>
      <w:r>
        <w:rPr>
          <w:rFonts w:hint="eastAsia" w:asciiTheme="minorEastAsia" w:hAnsiTheme="minorEastAsia" w:eastAsiaTheme="minorEastAsia"/>
          <w:szCs w:val="21"/>
        </w:rPr>
        <w:t>代理机构（章）：</w:t>
      </w:r>
      <w:r>
        <w:rPr>
          <w:rFonts w:hint="eastAsia" w:asciiTheme="minorEastAsia" w:hAnsiTheme="minorEastAsia" w:eastAsia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ind w:firstLine="420" w:firstLineChars="200"/>
        <w:rPr>
          <w:rFonts w:hint="eastAsia" w:eastAsiaTheme="minorEastAsia"/>
          <w:lang w:val="en-US" w:eastAsia="zh-CN"/>
        </w:rPr>
      </w:pPr>
      <w:r>
        <w:rPr>
          <w:rFonts w:hint="eastAsia" w:asciiTheme="minorEastAsia" w:hAnsiTheme="minorEastAsia" w:eastAsiaTheme="minorEastAsia"/>
          <w:szCs w:val="21"/>
        </w:rPr>
        <w:t>经办人：                               电  话</w:t>
      </w:r>
      <w:r>
        <w:rPr>
          <w:rFonts w:hint="eastAsia" w:asciiTheme="minorEastAsia" w:hAnsiTheme="minorEastAsia" w:eastAsiaTheme="minorEastAsia"/>
          <w:szCs w:val="21"/>
          <w:lang w:val="en-US" w:eastAsia="zh-CN"/>
        </w:rPr>
        <w:t>:</w:t>
      </w:r>
    </w:p>
    <w:p>
      <w:pPr>
        <w:jc w:val="left"/>
        <w:rPr>
          <w:rFonts w:hint="eastAsia" w:cs="宋体" w:asciiTheme="minorEastAsia" w:hAnsiTheme="minorEastAsia" w:eastAsiaTheme="minorEastAsia"/>
          <w:b/>
          <w:kern w:val="0"/>
          <w:szCs w:val="21"/>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Theme="minorEastAsia"/>
          <w:b/>
          <w:sz w:val="28"/>
          <w:szCs w:val="28"/>
          <w:lang w:eastAsia="zh-CN"/>
        </w:rPr>
      </w:pPr>
      <w:r>
        <w:rPr>
          <w:rFonts w:hint="eastAsia" w:ascii="宋体" w:cs="宋体"/>
          <w:b/>
          <w:bCs/>
          <w:kern w:val="0"/>
          <w:szCs w:val="21"/>
        </w:rPr>
        <w:t>十</w:t>
      </w:r>
      <w:r>
        <w:rPr>
          <w:rFonts w:hint="eastAsia" w:ascii="宋体" w:cs="宋体"/>
          <w:b/>
          <w:bCs/>
          <w:kern w:val="0"/>
          <w:szCs w:val="21"/>
          <w:lang w:eastAsia="zh-CN"/>
        </w:rPr>
        <w:t>二</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b/>
          <w:bCs/>
          <w:szCs w:val="21"/>
          <w:lang w:eastAsia="zh-CN"/>
        </w:rPr>
        <w:t>附件</w:t>
      </w: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w:t>
      </w:r>
      <w:r>
        <w:rPr>
          <w:rFonts w:hint="eastAsia" w:ascii="宋体" w:hAnsi="宋体"/>
          <w:szCs w:val="21"/>
          <w:lang w:eastAsia="zh-CN"/>
        </w:rPr>
        <w:t>供应商</w:t>
      </w:r>
      <w:r>
        <w:rPr>
          <w:rFonts w:hint="eastAsia" w:ascii="宋体" w:hAnsi="宋体"/>
          <w:szCs w:val="21"/>
        </w:rPr>
        <w:t>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w:t>
      </w:r>
      <w:r>
        <w:rPr>
          <w:rFonts w:hint="eastAsia" w:ascii="宋体" w:hAnsi="宋体"/>
          <w:szCs w:val="21"/>
          <w:lang w:eastAsia="zh-CN"/>
        </w:rPr>
        <w:t>采购工作</w:t>
      </w:r>
      <w:r>
        <w:rPr>
          <w:rFonts w:hint="eastAsia" w:ascii="宋体" w:hAnsi="宋体"/>
          <w:szCs w:val="21"/>
        </w:rPr>
        <w:t>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w:t>
      </w:r>
      <w:r>
        <w:rPr>
          <w:rFonts w:hint="eastAsia" w:ascii="宋体" w:hAnsi="宋体"/>
          <w:szCs w:val="21"/>
          <w:lang w:eastAsia="zh-CN"/>
        </w:rPr>
        <w:t>供应商</w:t>
      </w:r>
      <w:r>
        <w:rPr>
          <w:rFonts w:hint="eastAsia" w:ascii="宋体" w:hAnsi="宋体"/>
          <w:szCs w:val="21"/>
        </w:rPr>
        <w:t>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w:t>
      </w:r>
      <w:r>
        <w:rPr>
          <w:rFonts w:hint="eastAsia" w:ascii="宋体" w:hAnsi="宋体"/>
          <w:szCs w:val="21"/>
          <w:lang w:eastAsia="zh-CN"/>
        </w:rPr>
        <w:t>供应商</w:t>
      </w:r>
      <w:r>
        <w:rPr>
          <w:rFonts w:hint="eastAsia" w:ascii="宋体" w:hAnsi="宋体"/>
          <w:szCs w:val="21"/>
        </w:rPr>
        <w:t>组织的宴请、旅游、娱乐等活动；</w:t>
      </w:r>
    </w:p>
    <w:p>
      <w:pPr>
        <w:spacing w:line="360" w:lineRule="auto"/>
        <w:ind w:firstLine="420" w:firstLineChars="200"/>
        <w:rPr>
          <w:rFonts w:ascii="宋体" w:hAnsi="宋体"/>
          <w:szCs w:val="21"/>
        </w:rPr>
      </w:pPr>
      <w:r>
        <w:rPr>
          <w:rFonts w:hint="eastAsia" w:ascii="宋体" w:hAnsi="宋体"/>
          <w:szCs w:val="21"/>
        </w:rPr>
        <w:t>（二）与</w:t>
      </w:r>
      <w:r>
        <w:rPr>
          <w:rFonts w:hint="eastAsia" w:ascii="宋体" w:hAnsi="宋体"/>
          <w:szCs w:val="21"/>
          <w:lang w:eastAsia="zh-CN"/>
        </w:rPr>
        <w:t>供应商</w:t>
      </w:r>
      <w:r>
        <w:rPr>
          <w:rFonts w:hint="eastAsia" w:ascii="宋体" w:hAnsi="宋体"/>
          <w:szCs w:val="21"/>
        </w:rPr>
        <w:t>或</w:t>
      </w:r>
      <w:r>
        <w:rPr>
          <w:rFonts w:hint="eastAsia" w:ascii="宋体" w:hAnsi="宋体"/>
          <w:szCs w:val="21"/>
          <w:lang w:eastAsia="zh-CN"/>
        </w:rPr>
        <w:t>采购人</w:t>
      </w:r>
      <w:r>
        <w:rPr>
          <w:rFonts w:hint="eastAsia" w:ascii="宋体" w:hAnsi="宋体"/>
          <w:szCs w:val="21"/>
        </w:rPr>
        <w:t>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w:t>
      </w:r>
      <w:r>
        <w:rPr>
          <w:rFonts w:hint="eastAsia" w:ascii="宋体" w:hAnsi="宋体"/>
          <w:szCs w:val="21"/>
          <w:lang w:eastAsia="zh-CN"/>
        </w:rPr>
        <w:t>供应商</w:t>
      </w:r>
      <w:r>
        <w:rPr>
          <w:rFonts w:hint="eastAsia" w:ascii="宋体" w:hAnsi="宋体"/>
          <w:szCs w:val="21"/>
        </w:rPr>
        <w:t>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lang w:eastAsia="zh-CN"/>
        </w:rPr>
        <w:t>供应商</w:t>
      </w:r>
      <w:r>
        <w:rPr>
          <w:rFonts w:hint="eastAsia" w:ascii="宋体" w:hAnsi="宋体"/>
          <w:szCs w:val="21"/>
        </w:rPr>
        <w:t>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0" w:name="OLE_LINK1"/>
      <w:r>
        <w:rPr>
          <w:rFonts w:hint="eastAsia" w:ascii="宋体" w:hAnsi="宋体"/>
          <w:szCs w:val="21"/>
        </w:rPr>
        <w:t>在采购活动实施过程中，有吵闹、起哄、斗殴等行为，扰乱开标现场或评审现场秩序的，以及在投标答疑、领取</w:t>
      </w:r>
      <w:r>
        <w:rPr>
          <w:rFonts w:hint="eastAsia" w:ascii="宋体" w:hAnsi="宋体"/>
          <w:szCs w:val="21"/>
          <w:lang w:eastAsia="zh-CN"/>
        </w:rPr>
        <w:t>询价通知书</w:t>
      </w:r>
      <w:r>
        <w:rPr>
          <w:rFonts w:hint="eastAsia" w:ascii="宋体" w:hAnsi="宋体"/>
          <w:szCs w:val="21"/>
        </w:rPr>
        <w:t>、办理相关手续过程中扰乱正常办公秩序的；</w:t>
      </w:r>
    </w:p>
    <w:bookmarkEnd w:id="0"/>
    <w:p>
      <w:pPr>
        <w:spacing w:line="360" w:lineRule="auto"/>
        <w:ind w:firstLine="420" w:firstLineChars="200"/>
        <w:rPr>
          <w:rFonts w:ascii="宋体" w:hAnsi="宋体"/>
          <w:szCs w:val="21"/>
        </w:rPr>
      </w:pPr>
      <w:r>
        <w:rPr>
          <w:rFonts w:hint="eastAsia" w:ascii="宋体" w:hAnsi="宋体"/>
          <w:szCs w:val="21"/>
        </w:rPr>
        <w:t>（二）采取不正当手段诋毁、排挤其他</w:t>
      </w:r>
      <w:r>
        <w:rPr>
          <w:rFonts w:hint="eastAsia" w:ascii="宋体" w:hAnsi="宋体"/>
          <w:szCs w:val="21"/>
          <w:lang w:eastAsia="zh-CN"/>
        </w:rPr>
        <w:t>供应商</w:t>
      </w:r>
      <w:r>
        <w:rPr>
          <w:rFonts w:hint="eastAsia" w:ascii="宋体" w:hAnsi="宋体"/>
          <w:szCs w:val="21"/>
        </w:rPr>
        <w:t>的；</w:t>
      </w:r>
    </w:p>
    <w:p>
      <w:pPr>
        <w:spacing w:line="360" w:lineRule="auto"/>
        <w:ind w:firstLine="420" w:firstLineChars="200"/>
        <w:rPr>
          <w:rFonts w:ascii="宋体" w:hAnsi="宋体"/>
          <w:szCs w:val="21"/>
        </w:rPr>
      </w:pPr>
      <w:r>
        <w:rPr>
          <w:rFonts w:hint="eastAsia" w:ascii="宋体" w:hAnsi="宋体"/>
          <w:szCs w:val="21"/>
        </w:rPr>
        <w:t>（三）提供虚假材料谋取成交的；</w:t>
      </w:r>
    </w:p>
    <w:p>
      <w:pPr>
        <w:spacing w:line="360" w:lineRule="auto"/>
        <w:ind w:firstLine="420" w:firstLineChars="200"/>
        <w:rPr>
          <w:rFonts w:ascii="宋体" w:hAnsi="宋体"/>
          <w:szCs w:val="21"/>
        </w:rPr>
      </w:pPr>
      <w:r>
        <w:rPr>
          <w:rFonts w:hint="eastAsia" w:ascii="宋体" w:hAnsi="宋体"/>
          <w:szCs w:val="21"/>
        </w:rPr>
        <w:t>（四）向</w:t>
      </w:r>
      <w:r>
        <w:rPr>
          <w:rFonts w:hint="eastAsia" w:ascii="宋体" w:hAnsi="宋体"/>
          <w:szCs w:val="21"/>
          <w:lang w:eastAsia="zh-CN"/>
        </w:rPr>
        <w:t>采购人</w:t>
      </w:r>
      <w:r>
        <w:rPr>
          <w:rFonts w:hint="eastAsia" w:ascii="宋体" w:hAnsi="宋体"/>
          <w:szCs w:val="21"/>
        </w:rPr>
        <w:t>、采购代理机构工作人员行贿或提供其他不正当利益的；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w:t>
      </w:r>
      <w:r>
        <w:rPr>
          <w:rFonts w:hint="eastAsia" w:ascii="宋体" w:hAnsi="宋体"/>
          <w:szCs w:val="21"/>
          <w:lang w:val="en-US" w:eastAsia="zh-CN"/>
        </w:rPr>
        <w:t>询价</w:t>
      </w:r>
      <w:r>
        <w:rPr>
          <w:rFonts w:hint="eastAsia" w:ascii="宋体" w:hAnsi="宋体"/>
          <w:szCs w:val="21"/>
        </w:rPr>
        <w:t>过程中与</w:t>
      </w:r>
      <w:r>
        <w:rPr>
          <w:rFonts w:hint="eastAsia" w:ascii="宋体" w:hAnsi="宋体"/>
          <w:szCs w:val="21"/>
          <w:lang w:eastAsia="zh-CN"/>
        </w:rPr>
        <w:t>采购人</w:t>
      </w:r>
      <w:r>
        <w:rPr>
          <w:rFonts w:hint="eastAsia" w:ascii="宋体" w:hAnsi="宋体"/>
          <w:szCs w:val="21"/>
        </w:rPr>
        <w:t>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w:t>
      </w:r>
      <w:r>
        <w:rPr>
          <w:rFonts w:hint="eastAsia" w:ascii="宋体" w:hAnsi="宋体"/>
          <w:szCs w:val="21"/>
          <w:lang w:eastAsia="zh-CN"/>
        </w:rPr>
        <w:t>江苏尚阳工程管理有限公司</w:t>
      </w:r>
      <w:r>
        <w:rPr>
          <w:rFonts w:ascii="宋体" w:hAnsi="宋体"/>
          <w:szCs w:val="21"/>
        </w:rPr>
        <w:t>总经理室</w:t>
      </w:r>
    </w:p>
    <w:p>
      <w:pPr>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投诉监督电话：0519-88818225</w:t>
      </w: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6"/>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中吴人居江苏环境检测有限公司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1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按询价通知书规定的各项要求，向采购人提供所需货物与服务。</w:t>
      </w:r>
      <w:r>
        <w:rPr>
          <w:rFonts w:hint="eastAsia" w:asciiTheme="minorEastAsia" w:hAnsiTheme="minorEastAsia" w:eastAsiaTheme="minorEastAsia"/>
          <w:color w:val="auto"/>
          <w:sz w:val="21"/>
          <w:szCs w:val="21"/>
        </w:rPr>
        <w:t>询价报价参照《江苏省环境监测专业服务管理办法》、《江苏省环境监测专业服务收费标准》（苏价费[2006]397号）和《省物价局、省财政厅关于降低收费标准和实施收费减免的通知》报价。价格包含委托范围提供相应的服务、采样、报告编制、人员（包括工资和补贴）、车辆、办公场所及设施、保险、劳保、差旅、各种税费、利润、税金、政策性文件规定及合同包含的所有风险、责任等各项应有费用，以及为完成该项服务项目所涉及到的一切相关费用，采购人不再支付其他任何费用。</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hint="eastAsia"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r>
              <w:rPr>
                <w:rFonts w:hint="eastAsia" w:ascii="宋体" w:hAnsi="宋体"/>
                <w:color w:val="000000"/>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648"/>
        <w:gridCol w:w="1081"/>
        <w:gridCol w:w="1091"/>
        <w:gridCol w:w="1621"/>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4" w:type="pct"/>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67" w:type="pct"/>
            <w:vMerge w:val="restart"/>
            <w:vAlign w:val="center"/>
          </w:tcPr>
          <w:p>
            <w:pPr>
              <w:spacing w:line="240" w:lineRule="auto"/>
              <w:jc w:val="center"/>
              <w:rPr>
                <w:rFonts w:hint="eastAsia" w:ascii="宋体" w:hAnsi="宋体" w:cs="宋体"/>
                <w:szCs w:val="21"/>
                <w:lang w:eastAsia="zh-CN"/>
              </w:rPr>
            </w:pPr>
            <w:r>
              <w:rPr>
                <w:rFonts w:hint="eastAsia" w:ascii="宋体" w:hAnsi="宋体" w:cs="宋体"/>
                <w:szCs w:val="21"/>
                <w:lang w:eastAsia="zh-CN"/>
              </w:rPr>
              <w:t>工作内容</w:t>
            </w:r>
          </w:p>
        </w:tc>
        <w:tc>
          <w:tcPr>
            <w:tcW w:w="634" w:type="pct"/>
            <w:vMerge w:val="restart"/>
            <w:vAlign w:val="center"/>
          </w:tcPr>
          <w:p>
            <w:pPr>
              <w:spacing w:line="240" w:lineRule="auto"/>
              <w:jc w:val="center"/>
              <w:rPr>
                <w:rFonts w:hint="eastAsia" w:ascii="宋体" w:hAnsi="宋体" w:cs="宋体"/>
                <w:szCs w:val="21"/>
              </w:rPr>
            </w:pPr>
            <w:r>
              <w:rPr>
                <w:rFonts w:hint="eastAsia" w:ascii="宋体" w:hAnsi="宋体" w:cs="宋体"/>
                <w:szCs w:val="21"/>
              </w:rPr>
              <w:t>数量</w:t>
            </w:r>
          </w:p>
        </w:tc>
        <w:tc>
          <w:tcPr>
            <w:tcW w:w="640" w:type="pct"/>
            <w:vMerge w:val="restart"/>
            <w:vAlign w:val="center"/>
          </w:tcPr>
          <w:p>
            <w:pPr>
              <w:spacing w:line="240" w:lineRule="auto"/>
              <w:jc w:val="center"/>
              <w:rPr>
                <w:rFonts w:hint="eastAsia" w:ascii="宋体" w:hAnsi="宋体" w:cs="宋体"/>
                <w:szCs w:val="21"/>
              </w:rPr>
            </w:pPr>
            <w:r>
              <w:rPr>
                <w:rFonts w:hint="eastAsia" w:ascii="宋体" w:hAnsi="宋体" w:cs="宋体"/>
                <w:szCs w:val="21"/>
              </w:rPr>
              <w:t>单位</w:t>
            </w:r>
          </w:p>
        </w:tc>
        <w:tc>
          <w:tcPr>
            <w:tcW w:w="2063" w:type="pct"/>
            <w:gridSpan w:val="2"/>
            <w:vAlign w:val="center"/>
          </w:tcPr>
          <w:p>
            <w:pPr>
              <w:spacing w:line="240" w:lineRule="auto"/>
              <w:jc w:val="center"/>
              <w:rPr>
                <w:rFonts w:hint="eastAsia" w:ascii="宋体" w:hAnsi="宋体" w:cs="宋体"/>
                <w:szCs w:val="21"/>
              </w:rPr>
            </w:pPr>
            <w:r>
              <w:rPr>
                <w:rFonts w:hint="eastAsia" w:ascii="宋体" w:hAnsi="宋体" w:cs="宋体"/>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694" w:type="pct"/>
            <w:vMerge w:val="continue"/>
            <w:vAlign w:val="center"/>
          </w:tcPr>
          <w:p>
            <w:pPr>
              <w:widowControl/>
              <w:snapToGrid w:val="0"/>
              <w:spacing w:line="240" w:lineRule="auto"/>
              <w:jc w:val="center"/>
              <w:rPr>
                <w:rFonts w:ascii="宋体" w:hAnsi="宋体" w:cs="Arial"/>
                <w:color w:val="auto"/>
                <w:kern w:val="0"/>
                <w:szCs w:val="21"/>
              </w:rPr>
            </w:pPr>
          </w:p>
        </w:tc>
        <w:tc>
          <w:tcPr>
            <w:tcW w:w="967" w:type="pct"/>
            <w:vMerge w:val="continue"/>
            <w:vAlign w:val="center"/>
          </w:tcPr>
          <w:p>
            <w:pPr>
              <w:spacing w:line="240" w:lineRule="auto"/>
              <w:jc w:val="center"/>
              <w:rPr>
                <w:rFonts w:hint="eastAsia" w:ascii="宋体" w:hAnsi="宋体" w:cs="宋体"/>
                <w:szCs w:val="21"/>
              </w:rPr>
            </w:pPr>
          </w:p>
        </w:tc>
        <w:tc>
          <w:tcPr>
            <w:tcW w:w="634" w:type="pct"/>
            <w:vMerge w:val="continue"/>
            <w:vAlign w:val="center"/>
          </w:tcPr>
          <w:p>
            <w:pPr>
              <w:spacing w:line="240" w:lineRule="auto"/>
              <w:jc w:val="center"/>
              <w:rPr>
                <w:rFonts w:hint="eastAsia" w:ascii="宋体" w:hAnsi="宋体" w:cs="宋体"/>
                <w:szCs w:val="21"/>
              </w:rPr>
            </w:pPr>
          </w:p>
        </w:tc>
        <w:tc>
          <w:tcPr>
            <w:tcW w:w="640" w:type="pct"/>
            <w:vMerge w:val="continue"/>
            <w:vAlign w:val="center"/>
          </w:tcPr>
          <w:p>
            <w:pPr>
              <w:spacing w:line="240" w:lineRule="auto"/>
              <w:jc w:val="center"/>
              <w:rPr>
                <w:rFonts w:hint="eastAsia" w:ascii="宋体" w:hAnsi="宋体" w:cs="宋体"/>
                <w:szCs w:val="21"/>
              </w:rPr>
            </w:pPr>
          </w:p>
        </w:tc>
        <w:tc>
          <w:tcPr>
            <w:tcW w:w="951" w:type="pct"/>
            <w:vAlign w:val="center"/>
          </w:tcPr>
          <w:p>
            <w:pPr>
              <w:spacing w:line="240" w:lineRule="auto"/>
              <w:jc w:val="center"/>
              <w:rPr>
                <w:rFonts w:hint="eastAsia" w:ascii="宋体" w:hAnsi="宋体" w:cs="宋体"/>
                <w:szCs w:val="21"/>
              </w:rPr>
            </w:pPr>
            <w:r>
              <w:rPr>
                <w:rFonts w:hint="eastAsia" w:ascii="宋体" w:hAnsi="宋体" w:cs="宋体"/>
                <w:szCs w:val="21"/>
              </w:rPr>
              <w:t>单价</w:t>
            </w:r>
          </w:p>
        </w:tc>
        <w:tc>
          <w:tcPr>
            <w:tcW w:w="1112" w:type="pct"/>
            <w:vAlign w:val="center"/>
          </w:tcPr>
          <w:p>
            <w:pPr>
              <w:spacing w:line="240" w:lineRule="auto"/>
              <w:jc w:val="center"/>
              <w:rPr>
                <w:rFonts w:hint="eastAsia" w:ascii="宋体" w:hAnsi="宋体" w:cs="宋体"/>
                <w:szCs w:val="21"/>
              </w:rPr>
            </w:pPr>
            <w:r>
              <w:rPr>
                <w:rFonts w:hint="eastAsia" w:ascii="宋体" w:hAnsi="宋体" w:cs="宋体"/>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1</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2</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3</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bl>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auto"/>
          <w:szCs w:val="21"/>
        </w:rPr>
        <w:t>表式参考，可根据项目情况自行调整</w:t>
      </w:r>
      <w:r>
        <w:rPr>
          <w:rFonts w:hint="eastAsia"/>
          <w:color w:val="auto"/>
          <w:szCs w:val="21"/>
          <w:lang w:eastAsia="zh-CN"/>
        </w:rPr>
        <w:t>。</w:t>
      </w: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int="eastAsia" w:hAnsi="宋体" w:cs="宋体"/>
          <w:b/>
          <w:kern w:val="0"/>
          <w:sz w:val="21"/>
          <w:szCs w:val="21"/>
        </w:rPr>
      </w:pP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rPr>
        <w:t>投标人</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pStyle w:val="19"/>
        <w:snapToGrid w:val="0"/>
        <w:spacing w:line="360" w:lineRule="auto"/>
        <w:jc w:val="left"/>
        <w:rPr>
          <w:rFonts w:hint="eastAsia" w:hAnsi="宋体" w:eastAsia="宋体" w:cs="Arial"/>
          <w:kern w:val="0"/>
          <w:sz w:val="21"/>
          <w:szCs w:val="21"/>
        </w:rPr>
      </w:pPr>
    </w:p>
    <w:p>
      <w:pPr>
        <w:pStyle w:val="19"/>
        <w:snapToGrid w:val="0"/>
        <w:spacing w:line="360" w:lineRule="auto"/>
        <w:jc w:val="left"/>
        <w:rPr>
          <w:rFonts w:hint="eastAsia" w:hAnsi="宋体" w:eastAsia="宋体" w:cs="Arial"/>
          <w:kern w:val="0"/>
          <w:sz w:val="21"/>
          <w:szCs w:val="21"/>
        </w:rPr>
      </w:pP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B10666"/>
    <w:rsid w:val="00BA2253"/>
    <w:rsid w:val="00CF4B8E"/>
    <w:rsid w:val="00FA004C"/>
    <w:rsid w:val="017B214A"/>
    <w:rsid w:val="019A589A"/>
    <w:rsid w:val="027358DC"/>
    <w:rsid w:val="02EF517F"/>
    <w:rsid w:val="03472522"/>
    <w:rsid w:val="03D269F3"/>
    <w:rsid w:val="048B3EC8"/>
    <w:rsid w:val="04A55629"/>
    <w:rsid w:val="04D06D03"/>
    <w:rsid w:val="04E4561D"/>
    <w:rsid w:val="05254CF7"/>
    <w:rsid w:val="05990413"/>
    <w:rsid w:val="059E3E69"/>
    <w:rsid w:val="05D8496A"/>
    <w:rsid w:val="05F22FC2"/>
    <w:rsid w:val="068D41F8"/>
    <w:rsid w:val="07287D93"/>
    <w:rsid w:val="07296FF4"/>
    <w:rsid w:val="074C3EC0"/>
    <w:rsid w:val="08A01965"/>
    <w:rsid w:val="08D349A0"/>
    <w:rsid w:val="09701350"/>
    <w:rsid w:val="09B9190E"/>
    <w:rsid w:val="0ABE5C81"/>
    <w:rsid w:val="0D2B20F9"/>
    <w:rsid w:val="0E807BFF"/>
    <w:rsid w:val="0E9C69C0"/>
    <w:rsid w:val="0F7804DA"/>
    <w:rsid w:val="0F8D1B47"/>
    <w:rsid w:val="0FCA79A8"/>
    <w:rsid w:val="0FD8256E"/>
    <w:rsid w:val="10314577"/>
    <w:rsid w:val="105F3EBD"/>
    <w:rsid w:val="110D0D7B"/>
    <w:rsid w:val="13E17460"/>
    <w:rsid w:val="146B00F1"/>
    <w:rsid w:val="14924212"/>
    <w:rsid w:val="14CC2E70"/>
    <w:rsid w:val="15FE1E13"/>
    <w:rsid w:val="16B150CC"/>
    <w:rsid w:val="16BE3472"/>
    <w:rsid w:val="17523E4E"/>
    <w:rsid w:val="17C679EA"/>
    <w:rsid w:val="17D762D8"/>
    <w:rsid w:val="186F6ED3"/>
    <w:rsid w:val="18EA6268"/>
    <w:rsid w:val="194B62C4"/>
    <w:rsid w:val="19D04E1A"/>
    <w:rsid w:val="1BB4560E"/>
    <w:rsid w:val="1BE26243"/>
    <w:rsid w:val="1C315161"/>
    <w:rsid w:val="1C460737"/>
    <w:rsid w:val="1C614771"/>
    <w:rsid w:val="1CA324D4"/>
    <w:rsid w:val="1E2D1280"/>
    <w:rsid w:val="1E5577C7"/>
    <w:rsid w:val="1F6868E0"/>
    <w:rsid w:val="1FF103B4"/>
    <w:rsid w:val="20EB4379"/>
    <w:rsid w:val="22927D82"/>
    <w:rsid w:val="23A73542"/>
    <w:rsid w:val="24491895"/>
    <w:rsid w:val="24F06D39"/>
    <w:rsid w:val="250C1E2B"/>
    <w:rsid w:val="25B709BE"/>
    <w:rsid w:val="25E84F42"/>
    <w:rsid w:val="25EF542B"/>
    <w:rsid w:val="261B75F9"/>
    <w:rsid w:val="26E479F5"/>
    <w:rsid w:val="27180DCC"/>
    <w:rsid w:val="27280A7E"/>
    <w:rsid w:val="276F2A08"/>
    <w:rsid w:val="29600DFE"/>
    <w:rsid w:val="29C32E9B"/>
    <w:rsid w:val="2A52131D"/>
    <w:rsid w:val="2AD82F7A"/>
    <w:rsid w:val="2B856752"/>
    <w:rsid w:val="2B8F0A5B"/>
    <w:rsid w:val="2BB65747"/>
    <w:rsid w:val="2BDB359F"/>
    <w:rsid w:val="2CFC4CC3"/>
    <w:rsid w:val="2D875D75"/>
    <w:rsid w:val="2E2517BE"/>
    <w:rsid w:val="2E3F7590"/>
    <w:rsid w:val="2E5E5C1A"/>
    <w:rsid w:val="2E9D627C"/>
    <w:rsid w:val="2EBD340E"/>
    <w:rsid w:val="2F0B2479"/>
    <w:rsid w:val="2F1E6F12"/>
    <w:rsid w:val="318C2ED0"/>
    <w:rsid w:val="33184A51"/>
    <w:rsid w:val="34941BB1"/>
    <w:rsid w:val="34E41D30"/>
    <w:rsid w:val="35A802D5"/>
    <w:rsid w:val="35A819F9"/>
    <w:rsid w:val="35CE6400"/>
    <w:rsid w:val="35E55CCB"/>
    <w:rsid w:val="35F66A79"/>
    <w:rsid w:val="360C0A9B"/>
    <w:rsid w:val="375210BB"/>
    <w:rsid w:val="377A04B4"/>
    <w:rsid w:val="37E15898"/>
    <w:rsid w:val="3864166B"/>
    <w:rsid w:val="38747E87"/>
    <w:rsid w:val="3893356F"/>
    <w:rsid w:val="389B497C"/>
    <w:rsid w:val="394F050A"/>
    <w:rsid w:val="3953224A"/>
    <w:rsid w:val="3A241605"/>
    <w:rsid w:val="3B0E4001"/>
    <w:rsid w:val="3B2333E5"/>
    <w:rsid w:val="3B931FFB"/>
    <w:rsid w:val="3BB53E66"/>
    <w:rsid w:val="3C337352"/>
    <w:rsid w:val="3CDE2969"/>
    <w:rsid w:val="3D8709FF"/>
    <w:rsid w:val="3DCB5667"/>
    <w:rsid w:val="3DDB2FDE"/>
    <w:rsid w:val="3F1B34E3"/>
    <w:rsid w:val="3F531DEE"/>
    <w:rsid w:val="40046127"/>
    <w:rsid w:val="407C79C2"/>
    <w:rsid w:val="40FC3DE3"/>
    <w:rsid w:val="427E5452"/>
    <w:rsid w:val="43062E4F"/>
    <w:rsid w:val="43F961B2"/>
    <w:rsid w:val="451C2E35"/>
    <w:rsid w:val="457959E7"/>
    <w:rsid w:val="45BA1583"/>
    <w:rsid w:val="45FD55EE"/>
    <w:rsid w:val="463E25F1"/>
    <w:rsid w:val="47494C22"/>
    <w:rsid w:val="47763E1A"/>
    <w:rsid w:val="481D4344"/>
    <w:rsid w:val="48A47E5C"/>
    <w:rsid w:val="4A4A4316"/>
    <w:rsid w:val="4A784674"/>
    <w:rsid w:val="4AA12859"/>
    <w:rsid w:val="4B697724"/>
    <w:rsid w:val="4BE07F89"/>
    <w:rsid w:val="4BED6E95"/>
    <w:rsid w:val="4C020602"/>
    <w:rsid w:val="4C4A0A1C"/>
    <w:rsid w:val="4D3120F1"/>
    <w:rsid w:val="4D49306D"/>
    <w:rsid w:val="4E9E500C"/>
    <w:rsid w:val="4F0253AB"/>
    <w:rsid w:val="4F14508F"/>
    <w:rsid w:val="4F553259"/>
    <w:rsid w:val="4F5E24A7"/>
    <w:rsid w:val="4F8012D4"/>
    <w:rsid w:val="4FEA33F5"/>
    <w:rsid w:val="50013718"/>
    <w:rsid w:val="50854B68"/>
    <w:rsid w:val="51B921F2"/>
    <w:rsid w:val="51FA0968"/>
    <w:rsid w:val="52AC2A46"/>
    <w:rsid w:val="52ED3B45"/>
    <w:rsid w:val="53151837"/>
    <w:rsid w:val="543D266F"/>
    <w:rsid w:val="545C7BC0"/>
    <w:rsid w:val="54AA2A52"/>
    <w:rsid w:val="55B02958"/>
    <w:rsid w:val="55C013E8"/>
    <w:rsid w:val="56034BEE"/>
    <w:rsid w:val="564F624A"/>
    <w:rsid w:val="56D97E1D"/>
    <w:rsid w:val="56E3691A"/>
    <w:rsid w:val="574D6E88"/>
    <w:rsid w:val="58405FF8"/>
    <w:rsid w:val="588D05B5"/>
    <w:rsid w:val="5937747E"/>
    <w:rsid w:val="5A5A6DBD"/>
    <w:rsid w:val="5BE70375"/>
    <w:rsid w:val="5C4C398B"/>
    <w:rsid w:val="5CD01C70"/>
    <w:rsid w:val="5CE7344A"/>
    <w:rsid w:val="5DEE63C9"/>
    <w:rsid w:val="5FA04C22"/>
    <w:rsid w:val="5FEF6D46"/>
    <w:rsid w:val="62537479"/>
    <w:rsid w:val="62712F0B"/>
    <w:rsid w:val="6345604F"/>
    <w:rsid w:val="63D97B14"/>
    <w:rsid w:val="64016215"/>
    <w:rsid w:val="64137757"/>
    <w:rsid w:val="642C716A"/>
    <w:rsid w:val="64D3749D"/>
    <w:rsid w:val="65607796"/>
    <w:rsid w:val="6569590C"/>
    <w:rsid w:val="65DA0986"/>
    <w:rsid w:val="65F91B9C"/>
    <w:rsid w:val="6611011C"/>
    <w:rsid w:val="663F3E34"/>
    <w:rsid w:val="66421FFB"/>
    <w:rsid w:val="671805D0"/>
    <w:rsid w:val="672B4907"/>
    <w:rsid w:val="684859B5"/>
    <w:rsid w:val="68565C15"/>
    <w:rsid w:val="68C964B0"/>
    <w:rsid w:val="68E42B38"/>
    <w:rsid w:val="692D239E"/>
    <w:rsid w:val="6A1227A2"/>
    <w:rsid w:val="6B4D2FFF"/>
    <w:rsid w:val="6C3A3C4A"/>
    <w:rsid w:val="6C506846"/>
    <w:rsid w:val="6D0A2A7C"/>
    <w:rsid w:val="6DAB190A"/>
    <w:rsid w:val="6DEF1F33"/>
    <w:rsid w:val="6E1832F0"/>
    <w:rsid w:val="6E6552CB"/>
    <w:rsid w:val="6FCF226D"/>
    <w:rsid w:val="70586798"/>
    <w:rsid w:val="70DC7108"/>
    <w:rsid w:val="71A178DA"/>
    <w:rsid w:val="727A51CB"/>
    <w:rsid w:val="72DC74F8"/>
    <w:rsid w:val="731C35B2"/>
    <w:rsid w:val="73252E0E"/>
    <w:rsid w:val="73AC0359"/>
    <w:rsid w:val="73C1311D"/>
    <w:rsid w:val="74EE4923"/>
    <w:rsid w:val="75D11883"/>
    <w:rsid w:val="75EF3D5A"/>
    <w:rsid w:val="75FF02C5"/>
    <w:rsid w:val="76077D10"/>
    <w:rsid w:val="76110E47"/>
    <w:rsid w:val="76D34F65"/>
    <w:rsid w:val="77951C1F"/>
    <w:rsid w:val="77AD02C5"/>
    <w:rsid w:val="781563A9"/>
    <w:rsid w:val="7817363C"/>
    <w:rsid w:val="784F2F34"/>
    <w:rsid w:val="787841AD"/>
    <w:rsid w:val="794835E0"/>
    <w:rsid w:val="79C507F9"/>
    <w:rsid w:val="79DD100D"/>
    <w:rsid w:val="79DF4FA5"/>
    <w:rsid w:val="7AC53A20"/>
    <w:rsid w:val="7B7C42C4"/>
    <w:rsid w:val="7C560B42"/>
    <w:rsid w:val="7CD26DA4"/>
    <w:rsid w:val="7D8F187F"/>
    <w:rsid w:val="7DBD39BB"/>
    <w:rsid w:val="7FDF1E8C"/>
    <w:rsid w:val="7FE0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2">
    <w:name w:val="heading 3"/>
    <w:basedOn w:val="1"/>
    <w:next w:val="1"/>
    <w:qFormat/>
    <w:uiPriority w:val="99"/>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paragraph" w:customStyle="1" w:styleId="15">
    <w:name w:val="段"/>
    <w:basedOn w:val="1"/>
    <w:next w:val="1"/>
    <w:qFormat/>
    <w:uiPriority w:val="0"/>
    <w:pPr>
      <w:widowControl/>
      <w:autoSpaceDE w:val="0"/>
      <w:autoSpaceDN w:val="0"/>
      <w:ind w:firstLine="200" w:firstLineChars="200"/>
    </w:pPr>
    <w:rPr>
      <w:rFonts w:hint="eastAsia" w:ascii="宋体"/>
      <w:kern w:val="0"/>
      <w:szCs w:val="20"/>
    </w:rPr>
  </w:style>
  <w:style w:type="character" w:customStyle="1" w:styleId="16">
    <w:name w:val="批注主题 Char"/>
    <w:qFormat/>
    <w:uiPriority w:val="99"/>
    <w:rPr>
      <w:rFonts w:eastAsia="宋体"/>
      <w:b/>
      <w:bCs/>
    </w:rPr>
  </w:style>
  <w:style w:type="character" w:customStyle="1" w:styleId="17">
    <w:name w:val="页码1"/>
    <w:basedOn w:val="13"/>
    <w:qFormat/>
    <w:uiPriority w:val="0"/>
  </w:style>
  <w:style w:type="paragraph" w:customStyle="1" w:styleId="18">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3"/>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王涛</cp:lastModifiedBy>
  <dcterms:modified xsi:type="dcterms:W3CDTF">2022-03-07T06:59:28Z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CD1D7B59270A43A6AD2D8CC2C1E95075</vt:lpwstr>
  </property>
</Properties>
</file>