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XM_2022CZJC000008</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江苏银行股份有限公司常州清凉路支行监控系统工程及年度供应商采购项目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江苏银行股份有限公司常州分行</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二〇二二年</w:t>
      </w:r>
      <w:r>
        <w:rPr>
          <w:rFonts w:hint="eastAsia" w:ascii="宋体" w:hAnsi="宋体" w:cs="宋体"/>
          <w:color w:val="auto"/>
          <w:w w:val="90"/>
          <w:sz w:val="44"/>
          <w:szCs w:val="44"/>
          <w:highlight w:val="none"/>
          <w:lang w:val="en-US" w:eastAsia="zh-CN"/>
        </w:rPr>
        <w:t>四</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15-23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24-26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28-39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40</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江苏银行股份有限公司常州清凉路支行监控系统工程及年度供应商采购项目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28359012"/>
      <w:bookmarkStart w:id="6" w:name="_Toc35393629"/>
      <w:bookmarkStart w:id="7" w:name="_Toc35393798"/>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江苏银行股份有限公司常州清凉路支行监控系统工程及年度供应商采购项目</w:t>
      </w:r>
      <w:r>
        <w:rPr>
          <w:rFonts w:hint="eastAsia" w:cs="宋体" w:asciiTheme="minorEastAsia" w:hAnsiTheme="minorEastAsia" w:eastAsiaTheme="minorEastAsia"/>
          <w:color w:val="auto"/>
          <w:szCs w:val="21"/>
          <w:highlight w:val="none"/>
          <w:lang w:eastAsia="zh-CN"/>
        </w:rPr>
        <w:t>采购项目的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2022年4月14</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15</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XM_2022CZJC000008</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江苏银行股份有限公司常州清凉路支行监控系统工程及年度供应商采购项目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预算金额：34.67万元(含税)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最高限价：34.67万元(含税)</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江苏银行股份有限公司常州清凉路支行监控系统工程及年度供应商采购项目</w:t>
      </w:r>
      <w:r>
        <w:rPr>
          <w:rFonts w:hint="eastAsia" w:cs="宋体" w:asciiTheme="minorEastAsia" w:hAnsiTheme="minorEastAsia" w:eastAsiaTheme="minorEastAsia"/>
          <w:color w:val="auto"/>
          <w:szCs w:val="21"/>
          <w:highlight w:val="none"/>
        </w:rPr>
        <w:t>，包括但不限于设备的采购、运输、装卸、安装、调试、测试、技术培训等，直至通过采购人及其他相关部门的验收以及质量保修、免费维保等全部工作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本项目成交供应商为江苏银行股份有限公司常州清凉路支行监控系统工程的成交供应商，工期为2022年4月至2022年7月；同时为江苏银行股份有限公司常州分行营业办公场所安防视频监控系统建设年度供应商，服务期限为2022年至2024年1月。</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90"/>
      <w:bookmarkStart w:id="9" w:name="_Toc28359013"/>
      <w:bookmarkStart w:id="10" w:name="_Toc35393799"/>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w:t>
      </w:r>
      <w:r>
        <w:rPr>
          <w:rFonts w:hint="eastAsia" w:cs="宋体" w:asciiTheme="minorEastAsia" w:hAnsiTheme="minorEastAsia" w:eastAsiaTheme="minorEastAsia"/>
          <w:color w:val="auto"/>
          <w:szCs w:val="21"/>
          <w:highlight w:val="none"/>
          <w:lang w:val="en-US" w:eastAsia="zh-CN"/>
        </w:rPr>
        <w:t>直接</w:t>
      </w:r>
      <w:r>
        <w:rPr>
          <w:rFonts w:hint="eastAsia" w:cs="宋体" w:asciiTheme="minorEastAsia" w:hAnsiTheme="minorEastAsia" w:eastAsiaTheme="minorEastAsia"/>
          <w:color w:val="auto"/>
          <w:szCs w:val="21"/>
          <w:highlight w:val="none"/>
          <w:lang w:eastAsia="zh-CN"/>
        </w:rPr>
        <w:t>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p>
    <w:p>
      <w:pPr>
        <w:spacing w:line="360" w:lineRule="exact"/>
        <w:ind w:firstLine="422" w:firstLineChars="200"/>
        <w:rPr>
          <w:rFonts w:hint="default" w:cs="宋体" w:asciiTheme="minorEastAsia" w:hAnsiTheme="minorEastAsia" w:eastAsiaTheme="minorEastAsia"/>
          <w:b/>
          <w:bCs/>
          <w:color w:val="auto"/>
          <w:szCs w:val="21"/>
          <w:highlight w:val="none"/>
          <w:lang w:val="en-US" w:eastAsia="zh-CN"/>
        </w:rPr>
      </w:pPr>
      <w:r>
        <w:rPr>
          <w:rFonts w:hint="eastAsia" w:cs="宋体" w:asciiTheme="minorEastAsia" w:hAnsiTheme="minorEastAsia" w:eastAsiaTheme="minorEastAsia"/>
          <w:b/>
          <w:bCs/>
          <w:color w:val="auto"/>
          <w:szCs w:val="21"/>
          <w:highlight w:val="none"/>
          <w:lang w:eastAsia="zh-CN"/>
        </w:rPr>
        <w:t>（</w:t>
      </w:r>
      <w:r>
        <w:rPr>
          <w:rFonts w:hint="eastAsia" w:cs="宋体" w:asciiTheme="minorEastAsia" w:hAnsiTheme="minorEastAsia" w:eastAsiaTheme="minorEastAsia"/>
          <w:b/>
          <w:bCs/>
          <w:color w:val="auto"/>
          <w:szCs w:val="21"/>
          <w:highlight w:val="none"/>
          <w:lang w:val="en-US" w:eastAsia="zh-CN"/>
        </w:rPr>
        <w:t>3</w:t>
      </w:r>
      <w:r>
        <w:rPr>
          <w:rFonts w:hint="eastAsia" w:cs="宋体" w:asciiTheme="minorEastAsia" w:hAnsiTheme="minorEastAsia" w:eastAsiaTheme="minorEastAsia"/>
          <w:b/>
          <w:bCs/>
          <w:color w:val="auto"/>
          <w:szCs w:val="21"/>
          <w:highlight w:val="none"/>
          <w:lang w:eastAsia="zh-CN"/>
        </w:rPr>
        <w:t>）</w:t>
      </w:r>
      <w:r>
        <w:rPr>
          <w:rFonts w:hint="eastAsia" w:cs="宋体" w:asciiTheme="minorEastAsia" w:hAnsiTheme="minorEastAsia" w:eastAsiaTheme="minorEastAsia"/>
          <w:b/>
          <w:bCs/>
          <w:color w:val="auto"/>
          <w:szCs w:val="21"/>
          <w:highlight w:val="none"/>
          <w:lang w:val="en-US" w:eastAsia="zh-CN"/>
        </w:rPr>
        <w:t>供应商为</w:t>
      </w:r>
      <w:r>
        <w:rPr>
          <w:rFonts w:hint="eastAsia" w:cs="宋体" w:asciiTheme="minorEastAsia" w:hAnsiTheme="minorEastAsia" w:eastAsiaTheme="minorEastAsia"/>
          <w:b/>
          <w:bCs/>
          <w:color w:val="auto"/>
          <w:szCs w:val="21"/>
          <w:highlight w:val="none"/>
          <w:lang w:eastAsia="zh-CN"/>
        </w:rPr>
        <w:t>江苏银行总行安防建设工程入围供应商</w:t>
      </w:r>
      <w:r>
        <w:rPr>
          <w:rFonts w:hint="eastAsia" w:cs="宋体" w:asciiTheme="minorEastAsia" w:hAnsiTheme="minorEastAsia" w:eastAsiaTheme="minorEastAsia"/>
          <w:b/>
          <w:bCs/>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2022年4月8</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w:t>
      </w:r>
      <w:r>
        <w:rPr>
          <w:rFonts w:hint="eastAsia" w:cs="宋体" w:asciiTheme="minorEastAsia" w:hAnsiTheme="minorEastAsia" w:eastAsiaTheme="minorEastAsia"/>
          <w:color w:val="auto"/>
          <w:szCs w:val="21"/>
          <w:highlight w:val="none"/>
          <w:lang w:val="en-US" w:eastAsia="zh-CN"/>
        </w:rPr>
        <w:t>递交响应文件</w:t>
      </w:r>
      <w:r>
        <w:rPr>
          <w:rFonts w:hint="eastAsia" w:cs="宋体" w:asciiTheme="minorEastAsia" w:hAnsiTheme="minorEastAsia" w:eastAsiaTheme="minorEastAsia"/>
          <w:color w:val="auto"/>
          <w:szCs w:val="21"/>
          <w:highlight w:val="none"/>
        </w:rPr>
        <w:t>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35393801"/>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napToGrid w:val="0"/>
        <w:spacing w:line="360" w:lineRule="exact"/>
        <w:ind w:firstLine="422" w:firstLineChars="200"/>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eastAsiaTheme="minorEastAsia"/>
          <w:b/>
          <w:bCs/>
          <w:color w:val="auto"/>
          <w:szCs w:val="21"/>
          <w:highlight w:val="none"/>
          <w:lang w:val="en-US" w:eastAsia="zh-CN"/>
        </w:rPr>
        <w:t>供应商授权代表递交谈判响应文件时提交以下资料：①本人身份证原件；②法定代表人资格证明书原件、法定代表人身份证（双面）复印件、授权委托书原件、代理人身份证（双面）复印件（②单独封装）；③报名申请表（原件加盖公章，格式详见竞争性谈判公告附件）。</w:t>
      </w:r>
    </w:p>
    <w:p>
      <w:pPr>
        <w:snapToGrid w:val="0"/>
        <w:spacing w:line="360" w:lineRule="exact"/>
        <w:ind w:firstLine="422" w:firstLineChars="200"/>
        <w:rPr>
          <w:rFonts w:hint="eastAsia" w:asciiTheme="minorEastAsia" w:hAnsiTheme="minorEastAsia" w:eastAsiaTheme="minorEastAsia"/>
          <w:b/>
          <w:bCs/>
          <w:color w:val="auto"/>
          <w:szCs w:val="21"/>
          <w:highlight w:val="none"/>
          <w:lang w:val="en-US" w:eastAsia="zh-CN"/>
        </w:rPr>
      </w:pPr>
      <w:r>
        <w:rPr>
          <w:rFonts w:hint="eastAsia" w:asciiTheme="minorEastAsia" w:hAnsiTheme="minorEastAsia" w:eastAsiaTheme="minorEastAsia"/>
          <w:b/>
          <w:bCs/>
          <w:color w:val="auto"/>
          <w:szCs w:val="21"/>
          <w:highlight w:val="none"/>
          <w:lang w:val="en-US" w:eastAsia="zh-CN"/>
        </w:rPr>
        <w:t>提交的谈判响应文件一式叁份，其中正本壹份、副本贰份、PDF格式电子稿（红章扫描）一份，其中电子光盘单独密封，谈判响应文件标注页码。</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2022年4月14</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15</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634"/>
      <w:bookmarkStart w:id="21" w:name="_Toc35393803"/>
      <w:bookmarkStart w:id="22" w:name="_Toc28359094"/>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参加谈判的供应商若认为竞争性谈判文件的资格要求和技术要求有倾向性或不公正性</w:t>
      </w:r>
      <w:r>
        <w:rPr>
          <w:rFonts w:hint="eastAsia" w:cs="宋体" w:asciiTheme="minorEastAsia" w:hAnsiTheme="minorEastAsia" w:eastAsiaTheme="minorEastAsia"/>
          <w:color w:val="auto"/>
          <w:szCs w:val="21"/>
          <w:highlight w:val="none"/>
          <w:lang w:val="en-US" w:eastAsia="zh-CN"/>
        </w:rPr>
        <w:t>,</w:t>
      </w:r>
      <w:r>
        <w:rPr>
          <w:rFonts w:hint="eastAsia" w:cs="宋体" w:asciiTheme="minorEastAsia" w:hAnsiTheme="minorEastAsia" w:eastAsiaTheme="minorEastAsia"/>
          <w:color w:val="auto"/>
          <w:szCs w:val="21"/>
          <w:highlight w:val="none"/>
          <w:lang w:eastAsia="zh-CN"/>
        </w:rPr>
        <w:t>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人民币陆仟元整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到帐截止日期：2022年4月13日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28359095"/>
      <w:bookmarkStart w:id="28" w:name="_Toc28359018"/>
      <w:bookmarkStart w:id="29" w:name="_Toc35393636"/>
      <w:r>
        <w:rPr>
          <w:rFonts w:hint="eastAsia" w:cs="宋体" w:asciiTheme="minorEastAsia" w:hAnsiTheme="minorEastAsia" w:eastAsiaTheme="minorEastAsia"/>
          <w:color w:val="auto"/>
          <w:szCs w:val="21"/>
          <w:highlight w:val="none"/>
          <w:lang w:eastAsia="zh-CN"/>
        </w:rPr>
        <w:t>各供应商应只安排1名代表现场</w:t>
      </w:r>
      <w:r>
        <w:rPr>
          <w:rFonts w:hint="eastAsia" w:cs="宋体" w:asciiTheme="minorEastAsia" w:hAnsiTheme="minorEastAsia" w:eastAsiaTheme="minorEastAsia"/>
          <w:color w:val="auto"/>
          <w:szCs w:val="21"/>
          <w:highlight w:val="none"/>
          <w:lang w:val="en-US" w:eastAsia="zh-CN"/>
        </w:rPr>
        <w:t>谈判</w:t>
      </w:r>
      <w:r>
        <w:rPr>
          <w:rFonts w:hint="eastAsia" w:cs="宋体" w:asciiTheme="minorEastAsia" w:hAnsiTheme="minorEastAsia" w:eastAsiaTheme="minorEastAsia"/>
          <w:color w:val="auto"/>
          <w:szCs w:val="21"/>
          <w:highlight w:val="none"/>
          <w:lang w:eastAsia="zh-CN"/>
        </w:rPr>
        <w:t>。供应商代表进入公司时须出示当日苏康码，配合测量体温，并请全程佩戴口罩，有感冒发热等症状请勿参加。进入开标室在提交响应文件过程中请有序排队，保持社交距离，并服从现场工作人员管理。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35393806"/>
      <w:bookmarkStart w:id="32" w:name="_Toc28359096"/>
      <w:bookmarkStart w:id="33" w:name="_Toc35393637"/>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名称：江苏银行股份有限公司常州分行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地址：常州市延陵中路500号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联系方式：李冬伟</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0519—88130312</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35393807"/>
      <w:bookmarkStart w:id="35" w:name="_Toc35393638"/>
      <w:bookmarkStart w:id="36" w:name="_Toc28359097"/>
      <w:bookmarkStart w:id="37" w:name="_Toc28359020"/>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639"/>
      <w:bookmarkStart w:id="40" w:name="_Toc28359021"/>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w:t>
            </w:r>
            <w:r>
              <w:rPr>
                <w:rFonts w:hint="eastAsia" w:ascii="宋体" w:hAnsi="宋体" w:cs="宋体"/>
                <w:color w:val="FF0000"/>
                <w:kern w:val="0"/>
                <w:szCs w:val="21"/>
                <w:highlight w:val="none"/>
                <w:lang w:val="en-US" w:eastAsia="zh-CN"/>
              </w:rPr>
              <w:t>针</w:t>
            </w:r>
            <w:r>
              <w:rPr>
                <w:rFonts w:hint="eastAsia" w:ascii="宋体" w:hAnsi="宋体" w:cs="宋体"/>
                <w:color w:val="auto"/>
                <w:kern w:val="0"/>
                <w:szCs w:val="21"/>
                <w:highlight w:val="none"/>
                <w:lang w:val="en-US" w:eastAsia="zh-CN"/>
              </w:rPr>
              <w:t>对本项目</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7.2.1</w:t>
      </w:r>
      <w:r>
        <w:rPr>
          <w:rFonts w:hint="eastAsia" w:ascii="宋体" w:hAnsi="宋体"/>
          <w:color w:val="auto"/>
          <w:szCs w:val="21"/>
          <w:highlight w:val="none"/>
        </w:rPr>
        <w:t>本</w:t>
      </w:r>
      <w:r>
        <w:rPr>
          <w:rFonts w:hint="eastAsia" w:ascii="宋体" w:hAnsi="宋体"/>
          <w:color w:val="auto"/>
          <w:szCs w:val="21"/>
          <w:highlight w:val="none"/>
          <w:lang w:val="en-US" w:eastAsia="zh-CN"/>
        </w:rPr>
        <w:t>项目</w:t>
      </w:r>
      <w:r>
        <w:rPr>
          <w:rFonts w:hint="eastAsia" w:ascii="宋体" w:hAnsi="宋体"/>
          <w:color w:val="auto"/>
          <w:szCs w:val="21"/>
          <w:highlight w:val="none"/>
        </w:rPr>
        <w:t>由</w:t>
      </w:r>
      <w:r>
        <w:rPr>
          <w:rFonts w:hint="eastAsia" w:ascii="宋体" w:hAnsi="宋体"/>
          <w:color w:val="auto"/>
          <w:szCs w:val="21"/>
          <w:highlight w:val="none"/>
          <w:lang w:val="en-US" w:eastAsia="zh-CN"/>
        </w:rPr>
        <w:t>供应商</w:t>
      </w:r>
      <w:r>
        <w:rPr>
          <w:rFonts w:hint="eastAsia" w:ascii="宋体" w:hAnsi="宋体"/>
          <w:color w:val="auto"/>
          <w:szCs w:val="21"/>
          <w:highlight w:val="none"/>
        </w:rPr>
        <w:t>依据</w:t>
      </w:r>
      <w:r>
        <w:rPr>
          <w:rFonts w:hint="eastAsia" w:ascii="宋体" w:hAnsi="宋体"/>
          <w:color w:val="auto"/>
          <w:szCs w:val="21"/>
          <w:highlight w:val="none"/>
          <w:lang w:eastAsia="zh-CN"/>
        </w:rPr>
        <w:t>采购人</w:t>
      </w:r>
      <w:r>
        <w:rPr>
          <w:rFonts w:hint="eastAsia" w:ascii="宋体" w:hAnsi="宋体"/>
          <w:color w:val="auto"/>
          <w:szCs w:val="21"/>
          <w:highlight w:val="none"/>
        </w:rPr>
        <w:t>提出的工程技术、质量、工期要求、承包范围、工程量清单，进行工程量清单报价，编制预算。其报价服务范围包含江苏银行常州分行此次监控工程范围。</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7.2.2</w:t>
      </w:r>
      <w:r>
        <w:rPr>
          <w:rFonts w:hint="eastAsia" w:ascii="宋体" w:hAnsi="宋体"/>
          <w:color w:val="auto"/>
          <w:szCs w:val="21"/>
          <w:highlight w:val="none"/>
        </w:rPr>
        <w:t>报价方式：以人民币形式报价。包含完成整个项目所产生的所有费用。</w:t>
      </w:r>
      <w:r>
        <w:rPr>
          <w:rFonts w:hint="eastAsia" w:ascii="宋体" w:hAnsi="宋体"/>
          <w:color w:val="auto"/>
          <w:szCs w:val="21"/>
          <w:highlight w:val="none"/>
          <w:lang w:eastAsia="zh-CN"/>
        </w:rPr>
        <w:t>供应商</w:t>
      </w:r>
      <w:r>
        <w:rPr>
          <w:rFonts w:hint="eastAsia" w:ascii="宋体" w:hAnsi="宋体"/>
          <w:color w:val="auto"/>
          <w:szCs w:val="21"/>
          <w:highlight w:val="none"/>
        </w:rPr>
        <w:t>估算错误或漏项的风险一律由</w:t>
      </w:r>
      <w:r>
        <w:rPr>
          <w:rFonts w:hint="eastAsia" w:ascii="宋体" w:hAnsi="宋体"/>
          <w:color w:val="auto"/>
          <w:szCs w:val="21"/>
          <w:highlight w:val="none"/>
          <w:lang w:eastAsia="zh-CN"/>
        </w:rPr>
        <w:t>供应商</w:t>
      </w:r>
      <w:r>
        <w:rPr>
          <w:rFonts w:hint="eastAsia" w:ascii="宋体" w:hAnsi="宋体"/>
          <w:color w:val="auto"/>
          <w:szCs w:val="21"/>
          <w:highlight w:val="none"/>
        </w:rPr>
        <w:t>承担。</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7.2.3供应商</w:t>
      </w:r>
      <w:r>
        <w:rPr>
          <w:rFonts w:hint="eastAsia" w:ascii="宋体" w:hAnsi="宋体"/>
          <w:color w:val="auto"/>
          <w:szCs w:val="21"/>
          <w:highlight w:val="none"/>
        </w:rPr>
        <w:t>应根据“谈判</w:t>
      </w:r>
      <w:r>
        <w:rPr>
          <w:rFonts w:hint="eastAsia" w:ascii="宋体" w:hAnsi="宋体"/>
          <w:color w:val="auto"/>
          <w:szCs w:val="21"/>
          <w:highlight w:val="none"/>
          <w:lang w:val="en-US" w:eastAsia="zh-CN"/>
        </w:rPr>
        <w:t>分项</w:t>
      </w:r>
      <w:r>
        <w:rPr>
          <w:rFonts w:hint="eastAsia" w:ascii="宋体" w:hAnsi="宋体"/>
          <w:color w:val="auto"/>
          <w:szCs w:val="21"/>
          <w:highlight w:val="none"/>
        </w:rPr>
        <w:t>报价表”的要求，对监控系统主材逐项填写单价、金额、总价。并依据“辅材与安装调试费”工程量清单，使用《江苏省建设工程费用定额》2014版编制辅材与安装调试费。</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2" w:firstLineChars="200"/>
        <w:rPr>
          <w:rFonts w:hint="eastAsia" w:ascii="宋体" w:hAnsi="宋体" w:cs="宋体"/>
          <w:b/>
          <w:color w:val="auto"/>
          <w:szCs w:val="21"/>
          <w:highlight w:val="none"/>
        </w:rPr>
      </w:pPr>
      <w:r>
        <w:rPr>
          <w:rFonts w:ascii="宋体" w:hAnsi="宋体" w:cs="宋体"/>
          <w:b/>
          <w:color w:val="auto"/>
          <w:szCs w:val="21"/>
          <w:highlight w:val="none"/>
        </w:rPr>
        <w:t>7.2.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相关设备如果包含在江苏银行安防设备招标采购范围内，价格不得高于江苏银行安防设备招标采购最新调整的最高限价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详见竞争性谈判文件第三章附件1 江苏银行安防监控主要设备的入围价格调整</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,谈判响应文件报价单价超出总行最高限价</w:t>
      </w:r>
      <w:r>
        <w:rPr>
          <w:rFonts w:hint="eastAsia" w:ascii="宋体" w:hAnsi="宋体" w:cs="宋体"/>
          <w:b/>
          <w:color w:val="auto"/>
          <w:szCs w:val="21"/>
          <w:highlight w:val="none"/>
          <w:lang w:val="en-US" w:eastAsia="zh-CN"/>
        </w:rPr>
        <w:t>单价</w:t>
      </w:r>
      <w:r>
        <w:rPr>
          <w:rFonts w:hint="eastAsia" w:ascii="宋体" w:hAnsi="宋体" w:cs="宋体"/>
          <w:b/>
          <w:color w:val="auto"/>
          <w:szCs w:val="21"/>
          <w:highlight w:val="none"/>
        </w:rPr>
        <w:t>或</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hint="eastAsia" w:ascii="宋体" w:hAnsi="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lang w:val="en-US" w:eastAsia="zh-CN"/>
        </w:rPr>
        <w:t>6</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r>
        <w:rPr>
          <w:rFonts w:hint="eastAsia" w:ascii="宋体" w:hAnsi="宋体"/>
          <w:b/>
          <w:bCs/>
          <w:color w:val="auto"/>
          <w:szCs w:val="21"/>
          <w:highlight w:val="none"/>
        </w:rPr>
        <w:t>签订合同时单价根据最终报价与首次报价之比同比例下浮。</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lang w:val="en-US" w:eastAsia="zh-CN"/>
        </w:rPr>
        <w:t>7.2.7项目</w:t>
      </w:r>
      <w:r>
        <w:rPr>
          <w:rFonts w:hint="eastAsia" w:ascii="宋体" w:hAnsi="宋体"/>
          <w:color w:val="auto"/>
          <w:szCs w:val="21"/>
          <w:highlight w:val="none"/>
        </w:rPr>
        <w:t>决算时，编制</w:t>
      </w:r>
      <w:r>
        <w:rPr>
          <w:rFonts w:hint="eastAsia" w:ascii="宋体" w:hAnsi="宋体"/>
          <w:color w:val="auto"/>
          <w:szCs w:val="21"/>
          <w:highlight w:val="none"/>
          <w:lang w:val="en-US" w:eastAsia="zh-CN"/>
        </w:rPr>
        <w:t>项目</w:t>
      </w:r>
      <w:r>
        <w:rPr>
          <w:rFonts w:hint="eastAsia" w:ascii="宋体" w:hAnsi="宋体"/>
          <w:color w:val="auto"/>
          <w:szCs w:val="21"/>
          <w:highlight w:val="none"/>
        </w:rPr>
        <w:t>决算书。设备价格依据成交单价与设备实际使用数量计算。</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成交供应商未能在</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文件规定的期限提交履约担保；</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9.4.3</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6法律法规认定的其他情形。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val="en-US"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val="en-US" w:eastAsia="zh-CN"/>
        </w:rPr>
        <w:t>谈判小组</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小组推荐</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候选人，经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批准，确定成交供应商。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3</w:t>
      </w:r>
      <w:r>
        <w:rPr>
          <w:rFonts w:hint="eastAsia" w:hAnsi="宋体" w:cs="宋体"/>
          <w:color w:val="auto"/>
          <w:sz w:val="21"/>
          <w:szCs w:val="21"/>
          <w:highlight w:val="none"/>
        </w:rPr>
        <w:t>.1</w:t>
      </w:r>
      <w:r>
        <w:rPr>
          <w:rFonts w:hint="eastAsia" w:hAnsi="宋体" w:cs="宋体"/>
          <w:color w:val="auto"/>
          <w:sz w:val="21"/>
          <w:szCs w:val="21"/>
          <w:highlight w:val="none"/>
          <w:lang w:val="en-US" w:eastAsia="zh-CN"/>
        </w:rPr>
        <w:t>成交</w:t>
      </w:r>
      <w:r>
        <w:rPr>
          <w:rFonts w:hint="eastAsia" w:hAnsi="宋体" w:cs="宋体"/>
          <w:color w:val="auto"/>
          <w:sz w:val="21"/>
          <w:szCs w:val="21"/>
          <w:highlight w:val="none"/>
        </w:rPr>
        <w:t>结果确定后，经</w:t>
      </w:r>
      <w:r>
        <w:rPr>
          <w:rFonts w:hint="eastAsia" w:hAnsi="宋体" w:cs="宋体"/>
          <w:color w:val="auto"/>
          <w:sz w:val="21"/>
          <w:szCs w:val="21"/>
          <w:highlight w:val="none"/>
          <w:lang w:val="en-US" w:eastAsia="zh-CN"/>
        </w:rPr>
        <w:t>采购人</w:t>
      </w:r>
      <w:r>
        <w:rPr>
          <w:rFonts w:hint="eastAsia" w:hAnsi="宋体" w:cs="宋体"/>
          <w:color w:val="auto"/>
          <w:sz w:val="21"/>
          <w:szCs w:val="21"/>
          <w:highlight w:val="none"/>
        </w:rPr>
        <w:t>批准，代理机构将向</w:t>
      </w:r>
      <w:r>
        <w:rPr>
          <w:rFonts w:hint="eastAsia" w:hAnsi="宋体" w:cs="宋体"/>
          <w:color w:val="auto"/>
          <w:sz w:val="21"/>
          <w:szCs w:val="21"/>
          <w:highlight w:val="none"/>
          <w:lang w:val="en-US" w:eastAsia="zh-CN"/>
        </w:rPr>
        <w:t>成交供应商</w:t>
      </w:r>
      <w:r>
        <w:rPr>
          <w:rFonts w:hint="eastAsia" w:hAnsi="宋体" w:cs="宋体"/>
          <w:color w:val="auto"/>
          <w:sz w:val="21"/>
          <w:szCs w:val="21"/>
          <w:highlight w:val="none"/>
        </w:rPr>
        <w:t>发出</w:t>
      </w:r>
      <w:r>
        <w:rPr>
          <w:rFonts w:hint="eastAsia" w:hAnsi="宋体" w:cs="宋体"/>
          <w:color w:val="auto"/>
          <w:sz w:val="21"/>
          <w:szCs w:val="21"/>
          <w:highlight w:val="none"/>
          <w:lang w:val="en-US" w:eastAsia="zh-CN"/>
        </w:rPr>
        <w:t>成交</w:t>
      </w:r>
      <w:r>
        <w:rPr>
          <w:rFonts w:hint="eastAsia" w:hAnsi="宋体" w:cs="宋体"/>
          <w:color w:val="auto"/>
          <w:sz w:val="21"/>
          <w:szCs w:val="21"/>
          <w:highlight w:val="none"/>
        </w:rPr>
        <w:t>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4</w:t>
      </w:r>
      <w:r>
        <w:rPr>
          <w:rFonts w:hint="eastAsia" w:ascii="宋体" w:hAnsi="宋体" w:cs="宋体"/>
          <w:b/>
          <w:color w:val="auto"/>
          <w:szCs w:val="21"/>
          <w:highlight w:val="none"/>
        </w:rPr>
        <w:t>.履约保证金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24.1成交供应商应在合同签订前向</w:t>
      </w:r>
      <w:r>
        <w:rPr>
          <w:rFonts w:hint="eastAsia" w:hAnsi="宋体" w:cs="宋体"/>
          <w:b/>
          <w:bCs/>
          <w:color w:val="auto"/>
          <w:sz w:val="21"/>
          <w:szCs w:val="21"/>
          <w:highlight w:val="none"/>
        </w:rPr>
        <w:t>采购人</w:t>
      </w:r>
      <w:r>
        <w:rPr>
          <w:rFonts w:hint="eastAsia" w:hAnsi="宋体" w:cs="宋体"/>
          <w:color w:val="auto"/>
          <w:sz w:val="21"/>
          <w:szCs w:val="21"/>
          <w:highlight w:val="none"/>
        </w:rPr>
        <w:t>提供合同总价格</w:t>
      </w:r>
      <w:r>
        <w:rPr>
          <w:rFonts w:hint="eastAsia" w:hAnsi="宋体" w:cs="宋体"/>
          <w:b/>
          <w:bCs/>
          <w:color w:val="auto"/>
          <w:sz w:val="21"/>
          <w:szCs w:val="21"/>
          <w:highlight w:val="none"/>
        </w:rPr>
        <w:t>5%</w:t>
      </w:r>
      <w:r>
        <w:rPr>
          <w:rFonts w:hint="eastAsia" w:hAnsi="宋体" w:cs="宋体"/>
          <w:color w:val="auto"/>
          <w:sz w:val="21"/>
          <w:szCs w:val="21"/>
          <w:highlight w:val="none"/>
        </w:rPr>
        <w:t>的履约保证金。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24.2履约保证金将在项目结束后（无息）退返成交供应商。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5</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ascii="宋体" w:hAnsi="宋体" w:cs="宋体"/>
          <w:b w:val="0"/>
          <w:bCs/>
          <w:color w:val="auto"/>
          <w:szCs w:val="21"/>
          <w:highlight w:val="none"/>
        </w:rPr>
        <w:t>5</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25.2.3评委费由成交供应商按实支付给招标代理机构。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6</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27.</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参与采购活动的当事人应对采购文件和磋商响应文件中的商业秘密保密，违者应对由此造成的后果承担法律责任。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响应文件中提供的材料</w:t>
      </w:r>
      <w:r>
        <w:rPr>
          <w:rFonts w:ascii="宋体" w:hAnsi="宋体"/>
          <w:b/>
          <w:bCs/>
          <w:color w:val="auto"/>
          <w:szCs w:val="21"/>
          <w:highlight w:val="none"/>
        </w:rPr>
        <w:t>均需加盖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.法定代表人资格证明书（原件）、</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lang w:eastAsia="zh-CN"/>
        </w:rPr>
        <w:t>近</w:t>
      </w:r>
      <w:r>
        <w:rPr>
          <w:rFonts w:hint="eastAsia" w:ascii="宋体" w:hAnsi="宋体" w:cs="宋体"/>
          <w:color w:val="auto"/>
          <w:szCs w:val="21"/>
          <w:highlight w:val="none"/>
        </w:rPr>
        <w:t>半年内任意两个月（自谈判截止之日起往前推）供应商为其缴纳的社保证明</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r>
        <w:rPr>
          <w:rFonts w:hint="eastAsia" w:ascii="宋体" w:hAnsi="宋体" w:cs="宋体"/>
          <w:color w:val="auto"/>
          <w:szCs w:val="21"/>
          <w:highlight w:val="none"/>
        </w:rPr>
        <w:t>（如果有授权委托情况的，必须提供）</w:t>
      </w:r>
    </w:p>
    <w:p>
      <w:pPr>
        <w:spacing w:line="360" w:lineRule="exact"/>
        <w:ind w:firstLine="422" w:firstLineChars="201"/>
        <w:rPr>
          <w:rFonts w:hint="eastAsia" w:ascii="宋体" w:cs="宋体"/>
          <w:bCs/>
          <w:color w:val="auto"/>
          <w:kern w:val="0"/>
          <w:szCs w:val="21"/>
          <w:highlight w:val="none"/>
          <w:lang w:eastAsia="zh-CN"/>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pPr>
        <w:spacing w:line="360" w:lineRule="exact"/>
        <w:ind w:firstLine="422" w:firstLineChars="201"/>
        <w:rPr>
          <w:rFonts w:hint="default" w:ascii="宋体" w:hAnsi="宋体" w:cs="宋体"/>
          <w:color w:val="auto"/>
          <w:szCs w:val="21"/>
          <w:highlight w:val="none"/>
          <w:lang w:val="en-US"/>
        </w:rPr>
      </w:pPr>
      <w:r>
        <w:rPr>
          <w:rFonts w:hint="eastAsia" w:ascii="宋体" w:cs="宋体"/>
          <w:bCs/>
          <w:color w:val="auto"/>
          <w:kern w:val="0"/>
          <w:szCs w:val="21"/>
          <w:highlight w:val="none"/>
          <w:lang w:val="en-US" w:eastAsia="zh-CN"/>
        </w:rPr>
        <w:t>*6.供应商为江苏银行总行安防建设工程入围供应商的证明材料</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s="宋体"/>
          <w:color w:val="auto"/>
          <w:szCs w:val="21"/>
          <w:highlight w:val="none"/>
          <w:lang w:val="en-US" w:eastAsia="zh-CN"/>
        </w:rPr>
        <w:t>江苏银行股份有限公司常州清凉路支行监控系统工程及年度供应商采购项目</w:t>
      </w:r>
      <w:r>
        <w:rPr>
          <w:rFonts w:hint="eastAsia" w:ascii="宋体" w:hAnsi="宋体" w:cs="宋体"/>
          <w:color w:val="auto"/>
          <w:szCs w:val="21"/>
          <w:highlight w:val="none"/>
        </w:rPr>
        <w:t>，包括但不限于设备的采购、运输、装卸、安装、调试、测试、技术培训等，直至通过采购人及其他相关部门的验收以及质量保修、免费维保等全部工作。</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w:t>
      </w:r>
      <w:r>
        <w:rPr>
          <w:rFonts w:ascii="宋体" w:hAnsi="宋体" w:cs="宋体"/>
          <w:b/>
          <w:color w:val="auto"/>
          <w:szCs w:val="21"/>
          <w:highlight w:val="none"/>
        </w:rPr>
        <w:t>、</w:t>
      </w:r>
      <w:r>
        <w:rPr>
          <w:rFonts w:hint="eastAsia" w:ascii="宋体" w:hAnsi="宋体" w:cs="宋体"/>
          <w:b/>
          <w:color w:val="auto"/>
          <w:szCs w:val="21"/>
          <w:highlight w:val="none"/>
        </w:rPr>
        <w:t>监控系统项目技术要求</w:t>
      </w:r>
    </w:p>
    <w:p>
      <w:pPr>
        <w:snapToGrid w:val="0"/>
        <w:spacing w:line="360" w:lineRule="exact"/>
        <w:ind w:firstLine="422" w:firstLineChars="200"/>
        <w:rPr>
          <w:rFonts w:hint="eastAsia" w:ascii="宋体" w:hAnsi="宋体" w:cs="Arial"/>
          <w:b/>
          <w:bCs/>
          <w:color w:val="auto"/>
          <w:kern w:val="0"/>
          <w:szCs w:val="21"/>
          <w:highlight w:val="none"/>
        </w:rPr>
      </w:pPr>
      <w:r>
        <w:rPr>
          <w:rFonts w:hint="eastAsia" w:ascii="宋体" w:hAnsi="宋体" w:cs="Arial"/>
          <w:b/>
          <w:bCs/>
          <w:color w:val="auto"/>
          <w:kern w:val="0"/>
          <w:szCs w:val="21"/>
          <w:highlight w:val="none"/>
          <w:lang w:eastAsia="zh-CN"/>
        </w:rPr>
        <w:t>（</w:t>
      </w:r>
      <w:r>
        <w:rPr>
          <w:rFonts w:hint="eastAsia" w:ascii="宋体" w:hAnsi="宋体" w:cs="Arial"/>
          <w:b/>
          <w:bCs/>
          <w:color w:val="auto"/>
          <w:kern w:val="0"/>
          <w:szCs w:val="21"/>
          <w:highlight w:val="none"/>
          <w:lang w:val="en-US" w:eastAsia="zh-CN"/>
        </w:rPr>
        <w:t>一</w:t>
      </w:r>
      <w:r>
        <w:rPr>
          <w:rFonts w:hint="eastAsia" w:ascii="宋体" w:hAnsi="宋体" w:cs="Arial"/>
          <w:b/>
          <w:bCs/>
          <w:color w:val="auto"/>
          <w:kern w:val="0"/>
          <w:szCs w:val="21"/>
          <w:highlight w:val="none"/>
          <w:lang w:eastAsia="zh-CN"/>
        </w:rPr>
        <w:t>）</w:t>
      </w:r>
      <w:r>
        <w:rPr>
          <w:rFonts w:hint="eastAsia" w:ascii="宋体" w:hAnsi="宋体" w:cs="Arial"/>
          <w:b/>
          <w:bCs/>
          <w:color w:val="auto"/>
          <w:kern w:val="0"/>
          <w:szCs w:val="21"/>
          <w:highlight w:val="none"/>
        </w:rPr>
        <w:t>监控工程系统建设</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成交供应商以</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提供的设计图，根据建筑实际情况及公安部门对金融机构营业场所安防系统建设的要求，进一步进行建设方案的图纸细化，并负责完成项目施工、联网测试及竣工验收，最终通过常州市公安局专家组验收。</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提供设计图纸中标明预留的线路，必须按照正常施工要求进行布设，包括线路两端应有的接头配件，合理的线路长度，并经过连通性测试。</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视频监控系统应具备现场监视、声音复核、对讲、录像、录音、远程传输、入侵提示（自动银行人员出入与中心实时监控的联动触发）等功能，并实现与报警系统、照明系统的联动。</w:t>
      </w:r>
    </w:p>
    <w:p>
      <w:pPr>
        <w:snapToGrid w:val="0"/>
        <w:spacing w:line="360" w:lineRule="exact"/>
        <w:ind w:firstLine="422" w:firstLineChars="200"/>
        <w:rPr>
          <w:rFonts w:hint="eastAsia" w:ascii="宋体" w:hAnsi="宋体" w:cs="Arial"/>
          <w:b/>
          <w:bCs/>
          <w:color w:val="auto"/>
          <w:kern w:val="0"/>
          <w:szCs w:val="21"/>
          <w:highlight w:val="none"/>
        </w:rPr>
      </w:pPr>
      <w:r>
        <w:rPr>
          <w:rFonts w:hint="eastAsia" w:ascii="宋体" w:hAnsi="宋体" w:cs="Arial"/>
          <w:b/>
          <w:bCs/>
          <w:color w:val="auto"/>
          <w:kern w:val="0"/>
          <w:szCs w:val="21"/>
          <w:highlight w:val="none"/>
          <w:lang w:val="en-US" w:eastAsia="zh-CN"/>
        </w:rPr>
        <w:t>1.</w:t>
      </w:r>
      <w:r>
        <w:rPr>
          <w:rFonts w:hint="eastAsia" w:ascii="宋体" w:hAnsi="宋体" w:cs="Arial"/>
          <w:b/>
          <w:bCs/>
          <w:color w:val="auto"/>
          <w:kern w:val="0"/>
          <w:szCs w:val="21"/>
          <w:highlight w:val="none"/>
        </w:rPr>
        <w:t>监控点安装要求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1</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根据现场勘察情况及相关规范安装监控点。其中营业场所录像回放的图像应能清晰显示人员的活动情况及相应特征要求，视频监控系统应设置自动录像、录音，其它监控设备应能满足现场环境要求设置。</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2</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自助银行需监控客户人员正面、出钞口（屏蔽密码区）、装填现金操作区、客户活动区域环境，录像回放的图像应能清晰显示人员的体貌特征与活动情况。</w:t>
      </w:r>
    </w:p>
    <w:p>
      <w:pPr>
        <w:snapToGrid w:val="0"/>
        <w:spacing w:line="360" w:lineRule="exact"/>
        <w:ind w:firstLine="420" w:firstLineChars="200"/>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3</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自助银行门禁控制应与监控中心的画面联动；当客户开门进入自助银行时，监控中心自动弹出视频画面，并提示自助银行的具体位置</w:t>
      </w:r>
      <w:r>
        <w:rPr>
          <w:rFonts w:hint="eastAsia" w:ascii="宋体" w:hAnsi="宋体" w:cs="Arial"/>
          <w:color w:val="auto"/>
          <w:kern w:val="0"/>
          <w:szCs w:val="21"/>
          <w:highlight w:val="none"/>
          <w:lang w:eastAsia="zh-CN"/>
        </w:rPr>
        <w:t>。</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4</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自助银行应安装语音提示和求助对讲系统，当前端提示通话时，监控中心大屏能自动弹出画面，并提示所在位置；当后操作间有人进入时，监控中心自动弹出视频画面，并提示自助银行的具体位置；视频监控系统应设置自动录像、录音，其它监控设备应能满足现场环境要求设置。</w:t>
      </w:r>
    </w:p>
    <w:p>
      <w:pPr>
        <w:snapToGrid w:val="0"/>
        <w:spacing w:line="360" w:lineRule="exact"/>
        <w:ind w:firstLine="420" w:firstLineChars="200"/>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5</w:t>
      </w: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rPr>
        <w:t>自助行后场应设置刚性防护，对裸露的管线与强弱电插座进行防护</w:t>
      </w:r>
      <w:r>
        <w:rPr>
          <w:rFonts w:hint="eastAsia" w:ascii="宋体" w:hAnsi="宋体" w:cs="Arial"/>
          <w:color w:val="auto"/>
          <w:kern w:val="0"/>
          <w:szCs w:val="21"/>
          <w:highlight w:val="none"/>
          <w:lang w:eastAsia="zh-CN"/>
        </w:rPr>
        <w:t>。</w:t>
      </w:r>
    </w:p>
    <w:p>
      <w:pPr>
        <w:snapToGrid w:val="0"/>
        <w:spacing w:line="360" w:lineRule="exact"/>
        <w:ind w:firstLine="422" w:firstLineChars="200"/>
        <w:rPr>
          <w:rFonts w:hint="eastAsia" w:ascii="宋体" w:hAnsi="宋体" w:cs="Arial"/>
          <w:b/>
          <w:bCs/>
          <w:color w:val="auto"/>
          <w:kern w:val="0"/>
          <w:szCs w:val="21"/>
          <w:highlight w:val="none"/>
          <w:lang w:val="en-US" w:eastAsia="zh-CN"/>
        </w:rPr>
      </w:pPr>
      <w:r>
        <w:rPr>
          <w:rFonts w:hint="eastAsia" w:ascii="宋体" w:hAnsi="宋体" w:cs="Arial"/>
          <w:b/>
          <w:bCs/>
          <w:color w:val="auto"/>
          <w:kern w:val="0"/>
          <w:szCs w:val="21"/>
          <w:highlight w:val="none"/>
          <w:lang w:val="en-US" w:eastAsia="zh-CN"/>
        </w:rPr>
        <w:t>2.数字监控主机设计要求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每路图像不小于25帧/秒(PAL制式,音视频同步)循环录像,录像资料保存1个月以上。</w:t>
      </w:r>
    </w:p>
    <w:p>
      <w:pPr>
        <w:snapToGrid w:val="0"/>
        <w:spacing w:line="360" w:lineRule="exact"/>
        <w:ind w:firstLine="422" w:firstLineChars="200"/>
        <w:rPr>
          <w:rFonts w:hint="eastAsia" w:ascii="宋体" w:hAnsi="宋体" w:cs="Arial"/>
          <w:b/>
          <w:bCs/>
          <w:color w:val="auto"/>
          <w:kern w:val="0"/>
          <w:szCs w:val="21"/>
          <w:highlight w:val="none"/>
          <w:lang w:val="en-US" w:eastAsia="zh-CN"/>
        </w:rPr>
      </w:pPr>
      <w:r>
        <w:rPr>
          <w:rFonts w:hint="eastAsia" w:ascii="宋体" w:hAnsi="宋体" w:cs="Arial"/>
          <w:b/>
          <w:bCs/>
          <w:color w:val="auto"/>
          <w:kern w:val="0"/>
          <w:szCs w:val="21"/>
          <w:highlight w:val="none"/>
          <w:lang w:val="en-US" w:eastAsia="zh-CN"/>
        </w:rPr>
        <w:t>3.照明联动系统要求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根据监控现场设置联动照明系统，照明系统应与营业场所、自助银行现金装填区进行报警联动。当前端发生警情时，报警信号所在区域的监控系统开始录像，并打开所在区域的照明灯光系统。</w:t>
      </w:r>
    </w:p>
    <w:p>
      <w:pPr>
        <w:snapToGrid w:val="0"/>
        <w:spacing w:line="360" w:lineRule="exact"/>
        <w:ind w:firstLine="422" w:firstLineChars="200"/>
        <w:rPr>
          <w:rFonts w:hint="eastAsia" w:ascii="宋体" w:hAnsi="宋体" w:cs="Arial"/>
          <w:b/>
          <w:bCs/>
          <w:color w:val="auto"/>
          <w:kern w:val="0"/>
          <w:szCs w:val="21"/>
          <w:highlight w:val="none"/>
          <w:lang w:val="en-US" w:eastAsia="zh-CN"/>
        </w:rPr>
      </w:pPr>
      <w:r>
        <w:rPr>
          <w:rFonts w:hint="eastAsia" w:ascii="宋体" w:hAnsi="宋体" w:cs="Arial"/>
          <w:b/>
          <w:bCs/>
          <w:color w:val="auto"/>
          <w:kern w:val="0"/>
          <w:szCs w:val="21"/>
          <w:highlight w:val="none"/>
          <w:lang w:val="en-US" w:eastAsia="zh-CN"/>
        </w:rPr>
        <w:t>4.110报警系统要求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110报警系统由常州市保安服务公司负责设备的安装调试，由成交供应商负责管线的布设和与常州市保安服务公司的沟通协调。</w:t>
      </w:r>
    </w:p>
    <w:p>
      <w:pPr>
        <w:snapToGrid w:val="0"/>
        <w:spacing w:line="360" w:lineRule="exact"/>
        <w:ind w:firstLine="422" w:firstLineChars="200"/>
        <w:rPr>
          <w:rFonts w:hint="eastAsia" w:ascii="宋体" w:hAnsi="宋体" w:cs="Arial"/>
          <w:b/>
          <w:bCs/>
          <w:color w:val="auto"/>
          <w:kern w:val="0"/>
          <w:szCs w:val="21"/>
          <w:highlight w:val="none"/>
          <w:lang w:val="en-US" w:eastAsia="zh-CN"/>
        </w:rPr>
      </w:pPr>
      <w:r>
        <w:rPr>
          <w:rFonts w:hint="eastAsia" w:ascii="宋体" w:hAnsi="宋体" w:cs="Arial"/>
          <w:b/>
          <w:bCs/>
          <w:color w:val="auto"/>
          <w:kern w:val="0"/>
          <w:szCs w:val="21"/>
          <w:highlight w:val="none"/>
          <w:lang w:val="en-US" w:eastAsia="zh-CN"/>
        </w:rPr>
        <w:t>5.其他要求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（1）线路的敷设要求隐蔽、规范、安全。所有线路均应通过金属桥架安装，强、弱电按规范分开敷设。</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（2）安全管理：施工安全责任由成交供应商自行负全责。</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（3）配件、耗材要求：配件、耗材必须符合国家相关产品质量标准。</w:t>
      </w:r>
    </w:p>
    <w:p>
      <w:pPr>
        <w:snapToGrid w:val="0"/>
        <w:spacing w:line="360" w:lineRule="exact"/>
        <w:ind w:firstLine="422" w:firstLineChars="200"/>
        <w:rPr>
          <w:rFonts w:hint="eastAsia" w:ascii="宋体" w:hAnsi="宋体" w:cs="Arial"/>
          <w:b/>
          <w:bCs/>
          <w:color w:val="auto"/>
          <w:kern w:val="0"/>
          <w:szCs w:val="21"/>
          <w:highlight w:val="none"/>
          <w:lang w:eastAsia="zh-CN"/>
        </w:rPr>
      </w:pPr>
      <w:r>
        <w:rPr>
          <w:rFonts w:hint="eastAsia" w:ascii="宋体" w:hAnsi="宋体" w:cs="Arial"/>
          <w:b/>
          <w:bCs/>
          <w:color w:val="auto"/>
          <w:kern w:val="0"/>
          <w:szCs w:val="21"/>
          <w:highlight w:val="none"/>
          <w:lang w:eastAsia="zh-CN"/>
        </w:rPr>
        <w:t>（二）主要产品使用说明和质量要求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1</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工程质量标准必须达到国家及公安部门质量评定合格标准，符合常州市公安局、银监局验收标准及江苏银行的相关标准。</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若因成交供应商原因造成工程质量不合格，成交供应商应无条件地返修至合格，并且施工工期不予顺延。由此造成的损失，由成交供应商负责。</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3</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成交供应商招标供应的主要材料、设备名称、品种、型号、规格、数量等指标必须符合公安部门文件要求，材料在江苏银行总行采购目录范围内的必需按采购目录指定型号。</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4</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施工过程中如发现未按合同执行或施工中材料不符合要求者，成交供应商应无条件按合同要求进行整改，同时</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有权从工程款项中给予扣除成交供应商违约金人民币伍仟元整。</w:t>
      </w:r>
    </w:p>
    <w:p>
      <w:pPr>
        <w:snapToGrid w:val="0"/>
        <w:spacing w:line="360" w:lineRule="exact"/>
        <w:ind w:firstLine="422" w:firstLineChars="200"/>
        <w:rPr>
          <w:rFonts w:hint="eastAsia" w:ascii="宋体" w:hAnsi="宋体" w:cs="Arial"/>
          <w:b/>
          <w:bCs/>
          <w:color w:val="auto"/>
          <w:kern w:val="0"/>
          <w:szCs w:val="21"/>
          <w:highlight w:val="none"/>
          <w:lang w:eastAsia="zh-CN"/>
        </w:rPr>
      </w:pPr>
      <w:r>
        <w:rPr>
          <w:rFonts w:hint="eastAsia" w:ascii="宋体" w:hAnsi="宋体" w:cs="Arial"/>
          <w:b/>
          <w:bCs/>
          <w:color w:val="auto"/>
          <w:kern w:val="0"/>
          <w:szCs w:val="21"/>
          <w:highlight w:val="none"/>
          <w:lang w:eastAsia="zh-CN"/>
        </w:rPr>
        <w:t>（三）工程验收、售后服务承诺</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1</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工程必须经公安局专家小组验收，若验收不合格的，成交供应商必须在规定时间内进行整改完毕，并提请</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重验收，因整改而产生费用由成交供应商承担。</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质保期：质保期自验收合格之日起三年。</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3</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维修响应时间：成交供应商接到</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报障通知后，应在1小时内上门服务。3小时内无法修复的设备，成交供应商要免费提供并使用替代设备更换故障设备，以保证系统及时恢复正常运行。</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4</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负责保修期间的系统与设备的维护，并向</w:t>
      </w:r>
      <w:r>
        <w:rPr>
          <w:rFonts w:hint="eastAsia" w:ascii="宋体" w:hAnsi="宋体" w:cs="Arial"/>
          <w:color w:val="auto"/>
          <w:kern w:val="0"/>
          <w:szCs w:val="21"/>
          <w:highlight w:val="none"/>
          <w:lang w:val="en-US" w:eastAsia="zh-CN"/>
        </w:rPr>
        <w:t>采购人</w:t>
      </w:r>
      <w:r>
        <w:rPr>
          <w:rFonts w:hint="eastAsia" w:ascii="宋体" w:hAnsi="宋体" w:cs="Arial"/>
          <w:color w:val="auto"/>
          <w:kern w:val="0"/>
          <w:szCs w:val="21"/>
          <w:highlight w:val="none"/>
        </w:rPr>
        <w:t>提供系统与设备测试、维护报告；保修期期间，若遇到公安、银监对监控系统、设备检查时，应派人到场予以协助，确保检查工作顺利通过。</w:t>
      </w:r>
    </w:p>
    <w:p>
      <w:pPr>
        <w:snapToGrid w:val="0"/>
        <w:spacing w:line="360" w:lineRule="exact"/>
        <w:ind w:firstLine="422" w:firstLineChars="200"/>
        <w:rPr>
          <w:rFonts w:hint="eastAsia" w:ascii="宋体" w:hAnsi="宋体" w:cs="Arial"/>
          <w:b/>
          <w:bCs/>
          <w:color w:val="auto"/>
          <w:kern w:val="0"/>
          <w:szCs w:val="21"/>
          <w:highlight w:val="none"/>
          <w:lang w:eastAsia="zh-CN"/>
        </w:rPr>
      </w:pPr>
      <w:r>
        <w:rPr>
          <w:rFonts w:hint="eastAsia" w:ascii="宋体" w:hAnsi="宋体" w:cs="Arial"/>
          <w:b/>
          <w:bCs/>
          <w:color w:val="auto"/>
          <w:kern w:val="0"/>
          <w:szCs w:val="21"/>
          <w:highlight w:val="none"/>
          <w:lang w:eastAsia="zh-CN"/>
        </w:rPr>
        <w:t>（四）工程费用结算</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1</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工程验收合格后，成交供应商应根据要求编制工程决算书，提交江苏银行常州分行指定的第三方审计单位进行审计。设备价格依据成交单价与设备数量乘积计算，电源线、信号线、网线等辅配件数量按实际需求和使用情况确认，税收和管理等费用依据国家相关规定执行。</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w:t>
      </w:r>
      <w:r>
        <w:rPr>
          <w:rFonts w:hint="eastAsia" w:ascii="宋体" w:hAnsi="宋体" w:cs="Arial"/>
          <w:color w:val="auto"/>
          <w:kern w:val="0"/>
          <w:szCs w:val="21"/>
          <w:highlight w:val="none"/>
          <w:lang w:val="en-US" w:eastAsia="zh-CN"/>
        </w:rPr>
        <w:t>.</w:t>
      </w:r>
      <w:r>
        <w:rPr>
          <w:rFonts w:hint="eastAsia" w:ascii="宋体" w:hAnsi="宋体" w:cs="Arial"/>
          <w:color w:val="auto"/>
          <w:kern w:val="0"/>
          <w:szCs w:val="21"/>
          <w:highlight w:val="none"/>
        </w:rPr>
        <w:t>本</w:t>
      </w:r>
      <w:r>
        <w:rPr>
          <w:rFonts w:hint="eastAsia" w:ascii="宋体" w:hAnsi="宋体" w:cs="Arial"/>
          <w:color w:val="auto"/>
          <w:kern w:val="0"/>
          <w:szCs w:val="21"/>
          <w:highlight w:val="none"/>
          <w:lang w:val="en-US" w:eastAsia="zh-CN"/>
        </w:rPr>
        <w:t>项目</w:t>
      </w:r>
      <w:r>
        <w:rPr>
          <w:rFonts w:hint="eastAsia" w:ascii="宋体" w:hAnsi="宋体" w:cs="Arial"/>
          <w:color w:val="auto"/>
          <w:kern w:val="0"/>
          <w:szCs w:val="21"/>
          <w:highlight w:val="none"/>
        </w:rPr>
        <w:t>结算所开票据须为增值税专用发票，税款包含在报价之中。</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三、报价方式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本项目</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报价为</w:t>
      </w:r>
      <w:r>
        <w:rPr>
          <w:rFonts w:hint="eastAsia" w:ascii="宋体" w:hAnsi="宋体" w:cs="宋体"/>
          <w:b/>
          <w:bCs/>
          <w:color w:val="auto"/>
          <w:szCs w:val="21"/>
          <w:highlight w:val="none"/>
          <w:u w:val="none"/>
        </w:rPr>
        <w:t>固定单价</w:t>
      </w:r>
      <w:r>
        <w:rPr>
          <w:rFonts w:hint="eastAsia" w:ascii="宋体" w:hAnsi="宋体" w:cs="宋体"/>
          <w:b w:val="0"/>
          <w:bCs w:val="0"/>
          <w:color w:val="auto"/>
          <w:szCs w:val="21"/>
          <w:highlight w:val="none"/>
          <w:u w:val="none"/>
        </w:rPr>
        <w:t>，</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总价应包括</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文件所确定的采购范围相应货物和</w:t>
      </w:r>
      <w:r>
        <w:rPr>
          <w:rFonts w:ascii="宋体" w:hAnsi="宋体" w:cs="宋体"/>
          <w:b w:val="0"/>
          <w:bCs w:val="0"/>
          <w:color w:val="auto"/>
          <w:szCs w:val="21"/>
          <w:highlight w:val="none"/>
          <w:u w:val="none"/>
        </w:rPr>
        <w:t>服务</w:t>
      </w:r>
      <w:r>
        <w:rPr>
          <w:rFonts w:hint="eastAsia" w:ascii="宋体" w:hAnsi="宋体" w:cs="宋体"/>
          <w:b w:val="0"/>
          <w:bCs w:val="0"/>
          <w:color w:val="auto"/>
          <w:szCs w:val="21"/>
          <w:highlight w:val="none"/>
          <w:u w:val="none"/>
        </w:rPr>
        <w:t>的供货、包装、运输、保险、安装调试、管理、维护</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劳务、培训、验收</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报价货币为人民币，评审时以人民币为准。</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ascii="宋体" w:hAnsi="宋体" w:cs="宋体"/>
          <w:b/>
          <w:bCs/>
          <w:color w:val="auto"/>
          <w:szCs w:val="21"/>
          <w:highlight w:val="none"/>
          <w:u w:val="none"/>
        </w:rPr>
      </w:pPr>
      <w:r>
        <w:rPr>
          <w:rFonts w:hint="eastAsia" w:ascii="宋体" w:hAnsi="宋体" w:cs="宋体"/>
          <w:b/>
          <w:bCs/>
          <w:color w:val="auto"/>
          <w:szCs w:val="21"/>
          <w:highlight w:val="none"/>
          <w:u w:val="none"/>
          <w:lang w:eastAsia="zh-CN"/>
        </w:rPr>
        <w:t>四、</w:t>
      </w:r>
      <w:r>
        <w:rPr>
          <w:rFonts w:ascii="宋体" w:hAnsi="宋体" w:cs="宋体"/>
          <w:b/>
          <w:bCs/>
          <w:color w:val="auto"/>
          <w:szCs w:val="21"/>
          <w:highlight w:val="none"/>
          <w:u w:val="none"/>
        </w:rPr>
        <w:t>付款方式</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项目</w:t>
      </w:r>
      <w:r>
        <w:rPr>
          <w:rFonts w:hint="eastAsia" w:ascii="宋体" w:hAnsi="宋体" w:cs="Arial"/>
          <w:color w:val="auto"/>
          <w:kern w:val="0"/>
          <w:szCs w:val="21"/>
          <w:highlight w:val="none"/>
        </w:rPr>
        <w:t>完成后，</w:t>
      </w:r>
      <w:r>
        <w:rPr>
          <w:rFonts w:hint="eastAsia" w:ascii="宋体" w:hAnsi="宋体" w:cs="Arial"/>
          <w:color w:val="auto"/>
          <w:kern w:val="0"/>
          <w:szCs w:val="21"/>
          <w:highlight w:val="none"/>
          <w:lang w:val="en-US" w:eastAsia="zh-CN"/>
        </w:rPr>
        <w:t>采购人</w:t>
      </w:r>
      <w:r>
        <w:rPr>
          <w:rFonts w:hint="eastAsia" w:ascii="宋体" w:hAnsi="宋体" w:cs="Arial"/>
          <w:color w:val="auto"/>
          <w:kern w:val="0"/>
          <w:szCs w:val="21"/>
          <w:highlight w:val="none"/>
        </w:rPr>
        <w:t>一次性向</w:t>
      </w:r>
      <w:r>
        <w:rPr>
          <w:rFonts w:hint="eastAsia" w:ascii="宋体" w:hAnsi="宋体" w:cs="Arial"/>
          <w:color w:val="auto"/>
          <w:kern w:val="0"/>
          <w:szCs w:val="21"/>
          <w:highlight w:val="none"/>
          <w:lang w:val="en-US" w:eastAsia="zh-CN"/>
        </w:rPr>
        <w:t>成交供应商</w:t>
      </w:r>
      <w:r>
        <w:rPr>
          <w:rFonts w:hint="eastAsia" w:ascii="宋体" w:hAnsi="宋体" w:cs="Arial"/>
          <w:color w:val="auto"/>
          <w:kern w:val="0"/>
          <w:szCs w:val="21"/>
          <w:highlight w:val="none"/>
        </w:rPr>
        <w:t>支付合同金额。如果依据</w:t>
      </w:r>
      <w:r>
        <w:rPr>
          <w:rFonts w:hint="eastAsia" w:ascii="宋体" w:hAnsi="宋体" w:cs="Arial"/>
          <w:color w:val="auto"/>
          <w:kern w:val="0"/>
          <w:szCs w:val="21"/>
          <w:highlight w:val="none"/>
          <w:lang w:val="en-US" w:eastAsia="zh-CN"/>
        </w:rPr>
        <w:t>采购人</w:t>
      </w:r>
      <w:r>
        <w:rPr>
          <w:rFonts w:hint="eastAsia" w:ascii="宋体" w:hAnsi="宋体" w:cs="Arial"/>
          <w:color w:val="auto"/>
          <w:kern w:val="0"/>
          <w:szCs w:val="21"/>
          <w:highlight w:val="none"/>
        </w:rPr>
        <w:t>要求需对项目进行审计，则最终付款金额以</w:t>
      </w:r>
      <w:r>
        <w:rPr>
          <w:rFonts w:hint="eastAsia" w:ascii="宋体" w:hAnsi="宋体" w:cs="Arial"/>
          <w:color w:val="auto"/>
          <w:kern w:val="0"/>
          <w:szCs w:val="21"/>
          <w:highlight w:val="none"/>
          <w:lang w:val="en-US" w:eastAsia="zh-CN"/>
        </w:rPr>
        <w:t>采购人、成交供应商</w:t>
      </w:r>
      <w:r>
        <w:rPr>
          <w:rFonts w:hint="eastAsia" w:ascii="宋体" w:hAnsi="宋体" w:cs="Arial"/>
          <w:color w:val="auto"/>
          <w:kern w:val="0"/>
          <w:szCs w:val="21"/>
          <w:highlight w:val="none"/>
        </w:rPr>
        <w:t>双方认可的审定金额为准。合同内价格均为含税价，工程完工后</w:t>
      </w:r>
      <w:r>
        <w:rPr>
          <w:rFonts w:hint="eastAsia" w:ascii="宋体" w:hAnsi="宋体" w:cs="Arial"/>
          <w:color w:val="auto"/>
          <w:kern w:val="0"/>
          <w:szCs w:val="21"/>
          <w:highlight w:val="none"/>
          <w:lang w:val="en-US" w:eastAsia="zh-CN"/>
        </w:rPr>
        <w:t>成交供应商</w:t>
      </w:r>
      <w:r>
        <w:rPr>
          <w:rFonts w:hint="eastAsia" w:ascii="宋体" w:hAnsi="宋体" w:cs="Arial"/>
          <w:color w:val="auto"/>
          <w:kern w:val="0"/>
          <w:szCs w:val="21"/>
          <w:highlight w:val="none"/>
        </w:rPr>
        <w:t>出具增值税专用发票，</w:t>
      </w:r>
      <w:r>
        <w:rPr>
          <w:rFonts w:hint="eastAsia" w:ascii="宋体" w:hAnsi="宋体" w:cs="Arial"/>
          <w:color w:val="auto"/>
          <w:kern w:val="0"/>
          <w:szCs w:val="21"/>
          <w:highlight w:val="none"/>
          <w:lang w:val="en-US" w:eastAsia="zh-CN"/>
        </w:rPr>
        <w:t>采购人</w:t>
      </w:r>
      <w:r>
        <w:rPr>
          <w:rFonts w:hint="eastAsia" w:ascii="宋体" w:hAnsi="宋体" w:cs="Arial"/>
          <w:color w:val="auto"/>
          <w:kern w:val="0"/>
          <w:szCs w:val="21"/>
          <w:highlight w:val="none"/>
        </w:rPr>
        <w:t>在收到增值税专用发票后15日内向</w:t>
      </w:r>
      <w:r>
        <w:rPr>
          <w:rFonts w:hint="eastAsia" w:ascii="宋体" w:hAnsi="宋体" w:cs="Arial"/>
          <w:color w:val="auto"/>
          <w:kern w:val="0"/>
          <w:szCs w:val="21"/>
          <w:highlight w:val="none"/>
          <w:lang w:val="en-US" w:eastAsia="zh-CN"/>
        </w:rPr>
        <w:t>成交供应商</w:t>
      </w:r>
      <w:r>
        <w:rPr>
          <w:rFonts w:hint="eastAsia" w:ascii="宋体" w:hAnsi="宋体" w:cs="Arial"/>
          <w:color w:val="auto"/>
          <w:kern w:val="0"/>
          <w:szCs w:val="21"/>
          <w:highlight w:val="none"/>
        </w:rPr>
        <w:t>付清工程款。</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五、采购清单</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903"/>
        <w:gridCol w:w="2048"/>
        <w:gridCol w:w="877"/>
        <w:gridCol w:w="732"/>
        <w:gridCol w:w="1060"/>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2" w:type="dxa"/>
            <w:gridSpan w:val="7"/>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第一部分、监控系统工程主材费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名称</w:t>
            </w:r>
          </w:p>
        </w:tc>
        <w:tc>
          <w:tcPr>
            <w:tcW w:w="20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型号</w:t>
            </w:r>
          </w:p>
        </w:tc>
        <w:tc>
          <w:tcPr>
            <w:tcW w:w="8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数量</w:t>
            </w:r>
          </w:p>
        </w:tc>
        <w:tc>
          <w:tcPr>
            <w:tcW w:w="73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单位</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品牌</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16盘位32路NVR</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NVR-SN32I</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含鼠标音箱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超脑主机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iDS-6708NX/A</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4T工控硬盘</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ST4000VX000</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106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希捷</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智能行为分析摄像机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DS-2CD844Z-VIS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800W彩色红外宽动态网络摄像机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DS-FCN8027-VIS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500W彩色红外宽动态网络摄像机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DS-FCN6027-VIS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200W彩色红外宽动态网络摄像机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DS-FCN202X-VIS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200W彩色枪式宽动态网络摄像机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DS-FCN2002-VIW</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200W彩色网络红外半球摄像机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DS-FCN2057-VIS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200W彩色网络超宽动态半球摄像机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DS-FCN2057-VIW</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200W彩色迷你网络半球摄像机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DS-2CD2525EF</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安消一体摄像机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NP-FVY200</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200W彩色网络针孔摄像机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DS-2CD2D2Z-VIS</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窗口拾音器（高清）</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TS-804A</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智能设备拾音器（螺栓）</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TS-808A</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48口网络交换机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S5048V2-EI</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H3C</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单路视频点钞叠加器</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WL201</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一点通</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支持A级点钞机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IP对讲主机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NTA-3602A</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含一台分机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IP对讲分机</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NTA-3602B</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自助行来人提示喇叭</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NAC-103</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网络机柜</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40U</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浙江神虎</w:t>
            </w:r>
          </w:p>
        </w:tc>
        <w:tc>
          <w:tcPr>
            <w:tcW w:w="131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报警联动模块</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NAL-7400</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彩色液晶监视器</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P22</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飞利浦</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LED灯</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S-8100</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新视</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含联动控制箱、继电器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开关电源</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DC12V/8.5A</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明纬</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四门网络门禁系统</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WGAT8004</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含机箱电源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25</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读卡器（密码刷卡）</w:t>
            </w:r>
          </w:p>
        </w:tc>
        <w:tc>
          <w:tcPr>
            <w:tcW w:w="204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WG1081</w:t>
            </w:r>
          </w:p>
        </w:tc>
        <w:tc>
          <w:tcPr>
            <w:tcW w:w="877"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73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单门磁力锁</w:t>
            </w:r>
          </w:p>
        </w:tc>
        <w:tc>
          <w:tcPr>
            <w:tcW w:w="204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280</w:t>
            </w:r>
          </w:p>
        </w:tc>
        <w:tc>
          <w:tcPr>
            <w:tcW w:w="877"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73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出门按钮</w:t>
            </w:r>
          </w:p>
        </w:tc>
        <w:tc>
          <w:tcPr>
            <w:tcW w:w="204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EB01</w:t>
            </w:r>
          </w:p>
        </w:tc>
        <w:tc>
          <w:tcPr>
            <w:tcW w:w="877"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73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106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13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机架式KVM</w:t>
            </w:r>
          </w:p>
        </w:tc>
        <w:tc>
          <w:tcPr>
            <w:tcW w:w="2048"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MT-2108DL</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迈拓</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HDMI接口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可视对讲系统</w:t>
            </w:r>
          </w:p>
        </w:tc>
        <w:tc>
          <w:tcPr>
            <w:tcW w:w="204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JS-297C2</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金积嘉</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w:t>
            </w:r>
          </w:p>
        </w:tc>
        <w:tc>
          <w:tcPr>
            <w:tcW w:w="190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24口配线架</w:t>
            </w:r>
          </w:p>
        </w:tc>
        <w:tc>
          <w:tcPr>
            <w:tcW w:w="204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NTC-SN15FRT24</w:t>
            </w:r>
          </w:p>
        </w:tc>
        <w:tc>
          <w:tcPr>
            <w:tcW w:w="877"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凯图</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w:t>
            </w:r>
          </w:p>
        </w:tc>
        <w:tc>
          <w:tcPr>
            <w:tcW w:w="190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理线器</w:t>
            </w:r>
          </w:p>
        </w:tc>
        <w:tc>
          <w:tcPr>
            <w:tcW w:w="204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NTC-SNICPR1U</w:t>
            </w:r>
          </w:p>
        </w:tc>
        <w:tc>
          <w:tcPr>
            <w:tcW w:w="8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凯图</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w:t>
            </w:r>
          </w:p>
        </w:tc>
        <w:tc>
          <w:tcPr>
            <w:tcW w:w="190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分时电源控制器</w:t>
            </w:r>
          </w:p>
        </w:tc>
        <w:tc>
          <w:tcPr>
            <w:tcW w:w="204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DH-PFM650-4CH</w:t>
            </w:r>
          </w:p>
        </w:tc>
        <w:tc>
          <w:tcPr>
            <w:tcW w:w="8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大华</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190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三技术探测器</w:t>
            </w:r>
          </w:p>
        </w:tc>
        <w:tc>
          <w:tcPr>
            <w:tcW w:w="204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ISC-BDL2-WP12G-CHI</w:t>
            </w:r>
          </w:p>
        </w:tc>
        <w:tc>
          <w:tcPr>
            <w:tcW w:w="8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73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10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博世</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A</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监控系统主材合计</w:t>
            </w:r>
          </w:p>
        </w:tc>
        <w:tc>
          <w:tcPr>
            <w:tcW w:w="4717" w:type="dxa"/>
            <w:gridSpan w:val="4"/>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A=1+2+……+32</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B</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税金</w:t>
            </w:r>
          </w:p>
        </w:tc>
        <w:tc>
          <w:tcPr>
            <w:tcW w:w="4717"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B=A*9%</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监控系统主材含税合计</w:t>
            </w:r>
          </w:p>
        </w:tc>
        <w:tc>
          <w:tcPr>
            <w:tcW w:w="4717"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C=A+B</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辅材与安装调试费汇总表</w:t>
            </w:r>
          </w:p>
        </w:tc>
        <w:tc>
          <w:tcPr>
            <w:tcW w:w="4717"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E</w:t>
            </w:r>
          </w:p>
        </w:tc>
        <w:tc>
          <w:tcPr>
            <w:tcW w:w="1903"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临时柜台建设</w:t>
            </w:r>
          </w:p>
        </w:tc>
        <w:tc>
          <w:tcPr>
            <w:tcW w:w="4717"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F</w:t>
            </w:r>
          </w:p>
        </w:tc>
        <w:tc>
          <w:tcPr>
            <w:tcW w:w="190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工程合计</w:t>
            </w:r>
          </w:p>
        </w:tc>
        <w:tc>
          <w:tcPr>
            <w:tcW w:w="4717"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F=C+D+E</w:t>
            </w:r>
          </w:p>
        </w:tc>
        <w:tc>
          <w:tcPr>
            <w:tcW w:w="131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bl>
    <w:p>
      <w:pPr>
        <w:spacing w:line="360" w:lineRule="exact"/>
        <w:rPr>
          <w:rFonts w:hint="eastAsia" w:ascii="宋体" w:hAnsi="宋体" w:cs="宋体"/>
          <w:color w:val="auto"/>
          <w:szCs w:val="21"/>
          <w:highlight w:val="none"/>
        </w:rPr>
      </w:pP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5755"/>
        <w:gridCol w:w="1104"/>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2" w:type="dxa"/>
            <w:gridSpan w:val="4"/>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第二部分、安装调试费及辅材工程量清单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5755"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    称</w:t>
            </w:r>
          </w:p>
        </w:tc>
        <w:tc>
          <w:tcPr>
            <w:tcW w:w="110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计量单位</w:t>
            </w:r>
          </w:p>
        </w:tc>
        <w:tc>
          <w:tcPr>
            <w:tcW w:w="1076"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工程数量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7"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755"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104"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76"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成套配电箱安装 悬挂嵌入式(半周长0.5m)</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成套配电箱安装 悬挂嵌入式(半周长1.0m)</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砖、混凝土结构明配 公称直径(20mm以内) 紧定式镀锌电线管敷设</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砖、混凝土结构明配 公称直径(25mm以内) 紧定式镀锌电线管敷设</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吊顶内配管 公称直径(20mm以内) 紧定式镀锌电线管敷设</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吊顶内配管 公称直径(25mm以内) 紧定式镀锌电线管敷设</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敷设 公称管径(20mm以内)  每根管长(500mm以内) 金属软管</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钢制槽式桥架(宽+高150mm以下)</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钢制槽式桥架(宽+高400mm以下)</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桥架支撑架</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管内穿两芯电源线RVV2*1.0</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管内穿两芯屏蔽线RVVP2*0.75</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管内穿四芯线RVV4*0.75</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一般铁构件 制作</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一般铁构件 安装</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工作组级交换机安装调试</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管/暗槽内穿放(4对以内) 双绞线缆</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水晶头制作</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条</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安装落地式机柜、机架</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 字幕叠加器</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86盒安装</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10个</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安装开关电源(≤50A)</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IP对讲分机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IP对讲主机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25</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 户内机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 户外机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红外微波双鉴探测器</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报警声音复核装置(声音探头)</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有线报警信号前端传输设备(不含线缆) 网络传输接口</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读卡器</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门禁控制器 四门</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门禁出门按钮</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门禁电磁吸力锁</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彩色CCD带定焦镜头</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带红外光源CCD</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36</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日夜微光摄像机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安消摄像机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38</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智能双目摄像机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39</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照明灯(含红外灯)</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40</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微型针孔摄像机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防护罩 （定制针孔暗藏护罩）</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支架 悬挂式摄像机支架</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音频、视频及脉冲分配器(≤6路)</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44</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8路智能分析主机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45</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录像设备 数字录像机 32路输入</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46</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录像设备 数字录像机 16路输入（甲供，含硬盘）</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47</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监视器 ≤37cm</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入侵报警系统 每1个点</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49</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电视监控系统 摄像机</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电视监控系统</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51</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音频头制作</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52</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配线架安装打接 24口</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53</w:t>
            </w:r>
          </w:p>
        </w:tc>
        <w:tc>
          <w:tcPr>
            <w:tcW w:w="57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银行窗口对讲机（甲供）</w:t>
            </w:r>
          </w:p>
        </w:tc>
        <w:tc>
          <w:tcPr>
            <w:tcW w:w="11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107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r>
    </w:tbl>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附甲供材料清单</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2111"/>
        <w:gridCol w:w="1804"/>
        <w:gridCol w:w="559"/>
        <w:gridCol w:w="449"/>
        <w:gridCol w:w="669"/>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2111"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名称</w:t>
            </w:r>
          </w:p>
        </w:tc>
        <w:tc>
          <w:tcPr>
            <w:tcW w:w="1804"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型号</w:t>
            </w:r>
          </w:p>
        </w:tc>
        <w:tc>
          <w:tcPr>
            <w:tcW w:w="55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数量</w:t>
            </w:r>
          </w:p>
        </w:tc>
        <w:tc>
          <w:tcPr>
            <w:tcW w:w="44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单位</w:t>
            </w:r>
          </w:p>
        </w:tc>
        <w:tc>
          <w:tcPr>
            <w:tcW w:w="66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品牌</w:t>
            </w:r>
          </w:p>
        </w:tc>
        <w:tc>
          <w:tcPr>
            <w:tcW w:w="2371"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111"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804"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5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44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6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71"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2111"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8盘位16路NVR</w:t>
            </w:r>
          </w:p>
        </w:tc>
        <w:tc>
          <w:tcPr>
            <w:tcW w:w="18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DS-FN16CG</w:t>
            </w:r>
          </w:p>
        </w:tc>
        <w:tc>
          <w:tcPr>
            <w:tcW w:w="55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44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6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237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含8块6T硬盘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2111"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银行窗口对讲</w:t>
            </w:r>
          </w:p>
        </w:tc>
        <w:tc>
          <w:tcPr>
            <w:tcW w:w="18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5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44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6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7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bl>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第一部分的主材报价中设备单价应包括设备采购费、运输费、等费用，不包含税金；</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第二部分安装调试费与辅材依据表中提供的工程量清单，按照《江苏省建设工程费用定额（2014版）》进行编制；规费部分不得做让利。</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本项目的最终报价为第一部分“监控系统主材合计”与依据第二部分安装调试费与辅材工程量清单编制的“安装调试费与辅材费用”之和；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项目结算需提供税率为9%的增值税专用发票。</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六、其他说明</w:t>
      </w:r>
    </w:p>
    <w:p>
      <w:pPr>
        <w:snapToGrid w:val="0"/>
        <w:spacing w:line="360" w:lineRule="exact"/>
        <w:ind w:firstLine="420" w:firstLineChars="200"/>
        <w:rPr>
          <w:rFonts w:hint="default"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本项目成交供应商为江苏银行股份有限公司常州清凉路支行监控系统工程的成交供应商，工期为2022年</w:t>
      </w:r>
      <w:r>
        <w:rPr>
          <w:rFonts w:hint="default" w:ascii="宋体" w:hAnsi="宋体" w:cs="Arial"/>
          <w:color w:val="auto"/>
          <w:kern w:val="0"/>
          <w:szCs w:val="21"/>
          <w:highlight w:val="none"/>
          <w:lang w:val="en-US" w:eastAsia="zh-CN"/>
        </w:rPr>
        <w:t>4月至</w:t>
      </w:r>
      <w:r>
        <w:rPr>
          <w:rFonts w:hint="eastAsia" w:ascii="宋体" w:hAnsi="宋体" w:cs="Arial"/>
          <w:color w:val="auto"/>
          <w:kern w:val="0"/>
          <w:szCs w:val="21"/>
          <w:highlight w:val="none"/>
          <w:lang w:val="en-US" w:eastAsia="zh-CN"/>
        </w:rPr>
        <w:t>2022年</w:t>
      </w:r>
      <w:r>
        <w:rPr>
          <w:rFonts w:hint="default" w:ascii="宋体" w:hAnsi="宋体" w:cs="Arial"/>
          <w:color w:val="auto"/>
          <w:kern w:val="0"/>
          <w:szCs w:val="21"/>
          <w:highlight w:val="none"/>
          <w:lang w:val="en-US" w:eastAsia="zh-CN"/>
        </w:rPr>
        <w:t>7月</w:t>
      </w:r>
      <w:r>
        <w:rPr>
          <w:rFonts w:hint="eastAsia" w:ascii="宋体" w:hAnsi="宋体" w:cs="Arial"/>
          <w:color w:val="auto"/>
          <w:kern w:val="0"/>
          <w:szCs w:val="21"/>
          <w:highlight w:val="none"/>
          <w:lang w:val="en-US" w:eastAsia="zh-CN"/>
        </w:rPr>
        <w:t>；同时为江苏银行股份有限公司常州分行营业办公场所安防视频监控系统建设年度供应商，服务期限为</w:t>
      </w:r>
      <w:r>
        <w:rPr>
          <w:rFonts w:hint="default" w:ascii="宋体" w:hAnsi="宋体" w:cs="Arial"/>
          <w:color w:val="auto"/>
          <w:kern w:val="0"/>
          <w:szCs w:val="21"/>
          <w:highlight w:val="none"/>
          <w:lang w:val="en-US" w:eastAsia="zh-CN"/>
        </w:rPr>
        <w:t>2022年至2024年1月。</w:t>
      </w:r>
    </w:p>
    <w:p>
      <w:pPr>
        <w:snapToGrid w:val="0"/>
        <w:spacing w:line="360" w:lineRule="exact"/>
        <w:ind w:firstLine="420" w:firstLineChars="200"/>
        <w:rPr>
          <w:rFonts w:hint="default" w:ascii="宋体" w:hAnsi="宋体" w:cs="Arial"/>
          <w:color w:val="auto"/>
          <w:kern w:val="0"/>
          <w:szCs w:val="21"/>
          <w:highlight w:val="none"/>
          <w:lang w:val="en-US" w:eastAsia="zh-CN"/>
        </w:rPr>
      </w:pPr>
    </w:p>
    <w:p>
      <w:pPr>
        <w:snapToGrid w:val="0"/>
        <w:spacing w:line="360" w:lineRule="exact"/>
        <w:ind w:firstLine="420" w:firstLineChars="200"/>
        <w:rPr>
          <w:rFonts w:hint="eastAsia" w:ascii="宋体" w:hAnsi="宋体" w:cs="Arial"/>
          <w:color w:val="auto"/>
          <w:kern w:val="0"/>
          <w:szCs w:val="21"/>
          <w:highlight w:val="none"/>
          <w:lang w:val="en-US" w:eastAsia="zh-CN"/>
        </w:rPr>
        <w:sectPr>
          <w:footerReference r:id="rId7" w:type="default"/>
          <w:pgSz w:w="11906" w:h="16838"/>
          <w:pgMar w:top="1440" w:right="1800" w:bottom="1440" w:left="1800" w:header="851" w:footer="992" w:gutter="0"/>
          <w:pgNumType w:fmt="decimal"/>
          <w:cols w:space="425" w:num="1"/>
          <w:docGrid w:type="lines" w:linePitch="312" w:charSpace="0"/>
        </w:sectPr>
      </w:pPr>
    </w:p>
    <w:p>
      <w:pPr>
        <w:snapToGrid w:val="0"/>
        <w:spacing w:line="360" w:lineRule="exact"/>
        <w:ind w:firstLine="422" w:firstLineChars="200"/>
        <w:rPr>
          <w:rFonts w:hint="eastAsia" w:ascii="宋体" w:hAnsi="宋体" w:cs="Arial"/>
          <w:color w:val="auto"/>
          <w:kern w:val="0"/>
          <w:szCs w:val="21"/>
          <w:highlight w:val="none"/>
          <w:lang w:val="en-US" w:eastAsia="zh-CN"/>
        </w:rPr>
      </w:pPr>
      <w:r>
        <w:rPr>
          <w:rFonts w:hint="eastAsia" w:ascii="宋体" w:hAnsi="宋体" w:cs="宋体"/>
          <w:b/>
          <w:color w:val="auto"/>
          <w:szCs w:val="21"/>
          <w:highlight w:val="none"/>
          <w:lang w:val="en-US" w:eastAsia="zh-CN"/>
        </w:rPr>
        <w:t>附件1 江苏银行安防监控主要设备的入围价格调整</w:t>
      </w:r>
    </w:p>
    <w:p>
      <w:pPr>
        <w:autoSpaceDE/>
        <w:autoSpaceDN/>
        <w:snapToGrid w:val="0"/>
        <w:spacing w:before="0" w:after="0" w:line="360" w:lineRule="exact"/>
        <w:ind w:left="0" w:right="0" w:firstLine="420" w:firstLineChars="200"/>
        <w:jc w:val="both"/>
        <w:rPr>
          <w:rFonts w:hint="eastAsia" w:ascii="宋体" w:hAnsi="宋体" w:eastAsia="宋体" w:cs="Arial"/>
          <w:color w:val="auto"/>
          <w:kern w:val="0"/>
          <w:sz w:val="21"/>
          <w:szCs w:val="21"/>
          <w:highlight w:val="none"/>
          <w:lang w:val="en-US" w:eastAsia="zh-CN"/>
        </w:rPr>
      </w:pPr>
      <w:r>
        <w:rPr>
          <w:rFonts w:hint="eastAsia" w:ascii="宋体" w:hAnsi="宋体" w:eastAsia="宋体" w:cs="Arial"/>
          <w:color w:val="auto"/>
          <w:kern w:val="0"/>
          <w:sz w:val="21"/>
          <w:szCs w:val="21"/>
          <w:highlight w:val="none"/>
          <w:lang w:val="en-US" w:eastAsia="zh-CN"/>
        </w:rPr>
        <w:t>1.杭州海康威视数字技术股份有限公司</w:t>
      </w:r>
    </w:p>
    <w:tbl>
      <w:tblPr>
        <w:tblStyle w:val="10"/>
        <w:tblW w:w="831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646"/>
        <w:gridCol w:w="3979"/>
        <w:gridCol w:w="1921"/>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序号</w:t>
            </w:r>
          </w:p>
        </w:tc>
        <w:tc>
          <w:tcPr>
            <w:tcW w:w="646"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类别</w:t>
            </w: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规格</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型号</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不含税单价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46"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高清网络摄像机</w:t>
            </w: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枪式摄像机（200万像素）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DS-FCN2002-S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725.66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枪式摄像机（400万像素）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DS-2CD504Z-S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973.45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半球摄像机（200万像素）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DS-FCN2057-S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973.45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半球摄像机（400万像素）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DS-2CD274Z-S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红外枪式摄像机（200万像素）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DS-FCN202X-VIS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1194.69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红外枪式摄像机（400万像素）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DS-2CD264Z-VIS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1309.73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7</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红外半球摄像机（200万像素）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DS-FCN2057-VIS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1300.88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红外半球摄像机（400万像素）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DS-2CD274Z-VIS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宽动态枪式摄像机（200万像素）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DS-FCN2002-VIW</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1097.35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宽动态枪式摄像机（400万像素）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DS-2CD504Z-VIW</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1185.84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宽动态半球摄像机（200万像素）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DS-FCN2057-VIW</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1079.65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宽动态半球摄像机（400万像素）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DS-2CD274Z-VIW</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1203.54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13</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宽动态高清针孔摄像机（200万像素）</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DS-2CD2D2Z-VIS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982.30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14</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500/600万红外枪式摄像机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DS-FCN6027-VIS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2345.13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15</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800/1200万红外枪式摄像机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DS-FCN8027-VIS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2831.86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智能行为分析摄像机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DS-2CD844Z-VIS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4973.45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17</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安消一体摄像机(可探测烟雾和温度进行报警）</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NP-FVY200</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1008.85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18</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热成像测温摄像机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DS-2TD12Z-VIS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3035.40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19</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全景鱼眼摄像机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DS-2CD636Z-VIS</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2265.49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46"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监控主机</w:t>
            </w: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8路8盘位网络监控主机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DS-FN08CG</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2141.59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16路8盘位网络监控主机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DS-FN16CG</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3345.13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32路16盘位网络监控主机</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NVR-SN32I</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6592.92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智能分析主机（不带存储支持分析6路以上）</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iDS-6708NX/A-V2</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4619.47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16路8盘位智能分析主机(支持分析6路以上)</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iDS-8616NX-I8/A-V2</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6477.88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32路8盘位以上智能分析主机(支持分析6路以上)</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iDS-8632NX-I8/A-V2</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7079.65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46"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监控拼接屏</w:t>
            </w: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46寸高亮LCD拼接屏（拼缝1.7\1.8mm)</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DS-D2046NL-C/Y/2020</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12035.40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6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4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97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55寸高亮LCD拼接屏（拼缝1.7\1.8mm)</w:t>
            </w:r>
          </w:p>
        </w:tc>
        <w:tc>
          <w:tcPr>
            <w:tcW w:w="1921"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DS-D2055NH-E/G</w:t>
            </w:r>
          </w:p>
        </w:tc>
        <w:tc>
          <w:tcPr>
            <w:tcW w:w="120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16460.18</w:t>
            </w:r>
          </w:p>
        </w:tc>
      </w:tr>
    </w:tbl>
    <w:p>
      <w:pPr>
        <w:autoSpaceDE/>
        <w:autoSpaceDN/>
        <w:snapToGrid w:val="0"/>
        <w:spacing w:before="0" w:after="0" w:line="360" w:lineRule="exact"/>
        <w:ind w:left="0" w:right="0" w:firstLine="420" w:firstLineChars="200"/>
        <w:jc w:val="both"/>
        <w:rPr>
          <w:rFonts w:hint="eastAsia" w:ascii="宋体" w:hAnsi="宋体" w:eastAsia="宋体" w:cs="Arial"/>
          <w:color w:val="auto"/>
          <w:kern w:val="0"/>
          <w:sz w:val="21"/>
          <w:szCs w:val="21"/>
          <w:highlight w:val="none"/>
          <w:lang w:val="en-US" w:eastAsia="zh-CN"/>
        </w:rPr>
      </w:pPr>
      <w:r>
        <w:rPr>
          <w:rFonts w:hint="eastAsia" w:ascii="宋体" w:hAnsi="宋体" w:eastAsia="宋体" w:cs="Arial"/>
          <w:color w:val="auto"/>
          <w:kern w:val="0"/>
          <w:sz w:val="21"/>
          <w:szCs w:val="21"/>
          <w:highlight w:val="none"/>
          <w:lang w:val="en-US" w:eastAsia="zh-CN"/>
        </w:rPr>
        <w:t>2.浙江大华技术股份有限公司</w:t>
      </w:r>
    </w:p>
    <w:tbl>
      <w:tblPr>
        <w:tblStyle w:val="10"/>
        <w:tblW w:w="831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4"/>
        <w:gridCol w:w="682"/>
        <w:gridCol w:w="3718"/>
        <w:gridCol w:w="2183"/>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序号</w:t>
            </w:r>
          </w:p>
        </w:tc>
        <w:tc>
          <w:tcPr>
            <w:tcW w:w="682"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类别</w:t>
            </w: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规格</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型号</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不含税单价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82"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高清网络摄像机</w:t>
            </w: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枪式摄像机（200万像素）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DH-IPC-HF5233E</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911.50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枪式摄像机（400万像素）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DH-IPC-HF5433E</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1115.04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半球摄像机（200万像素）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DH-IPC-HDB5233E-Z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929.20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半球摄像机（400万像素）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DH-IPC-HDB5433E-Z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1168.14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红外枪式摄像机（200万像素）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DH-IPC-HFW5233E-Z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红外枪式摄像机（400万像素）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DH-IPC-HFW5433E-Z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1238.94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7</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红外半球摄像机（200万像素）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DH-IPC-HDBW5233E-Z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1221.24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红外半球摄像机（400万像素）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DH-IPC-HDBW5433E-Z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1380.53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宽动态枪式摄像机（200万像素）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DH-IPC-HF5233E</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911.50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10</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宽动态枪式摄像机（400万像素）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DH-IPC-HF5433E</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1115.04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宽动态半球摄像机（200万像素）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DH-IPC-HDB5233E-Z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929.20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宽动态半球摄像机（400万像素）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DH-IPC-HDB5433E-Z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1168.14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13</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宽动态高清针孔摄像机（200万像素）</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DH-IPC-HUM7233</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1238.94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14</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500/600万红外枪式摄像机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DH-IPC-HFW5631E-Z</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2300.88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15</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800/1200万红外枪式摄像机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DH-IPC-HFW5843E-ZYL-IRA-BZJ</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2876.11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智能行为分析摄像机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DH-IPC-HFW7243X-B-E2</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5486.73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17</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安消一体摄像机(可探测烟雾和温度进行报警）</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DH-HY-SA-K911-E2</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973.45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18</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热成像测温摄像机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DH-TPC-BF2221</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5309.73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19</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全景鱼眼摄像机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DH-IPC-EBW8630</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2212.39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82"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监控主机</w:t>
            </w: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8路8盘位网络监控主机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DH-NVR5808FG-4KS2</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2212.39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16路8盘位网络监控主机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DH-NVR5816FG-4KS2</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3123.89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32路16盘位网络监控主机</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DH-NVR5032FG-4KS2</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智能分析主机（不带存储支持分析6路以上）</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DH-IVS-IF3008-V3</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4557.52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16路8盘位智能分析主机(支持分析6路以上)</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DH-HCVR1605IF-SF</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6238.94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6</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32路8盘位以上智能分析主机(支持分析6路以上)</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DH-HCVR1605IF-XF</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7123.89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w:t>
            </w:r>
          </w:p>
        </w:tc>
        <w:tc>
          <w:tcPr>
            <w:tcW w:w="682"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监控拼接屏</w:t>
            </w: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46寸高亮LCD拼接屏（拼缝1.7\1.8mm)</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DHL460UDH-ES</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11769.91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24"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2</w:t>
            </w:r>
          </w:p>
        </w:tc>
        <w:tc>
          <w:tcPr>
            <w:tcW w:w="68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p>
        </w:tc>
        <w:tc>
          <w:tcPr>
            <w:tcW w:w="3718"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55寸高亮LCD拼接屏（拼缝1.7\1.8mm)</w:t>
            </w:r>
          </w:p>
        </w:tc>
        <w:tc>
          <w:tcPr>
            <w:tcW w:w="2183"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DHL550UDH-EG</w:t>
            </w:r>
          </w:p>
        </w:tc>
        <w:tc>
          <w:tcPr>
            <w:tcW w:w="1209" w:type="dxa"/>
            <w:vAlign w:val="center"/>
          </w:tcPr>
          <w:p>
            <w:pPr>
              <w:keepNext w:val="0"/>
              <w:keepLines w:val="0"/>
              <w:pageBreakBefore w:val="0"/>
              <w:widowControl w:val="0"/>
              <w:kinsoku/>
              <w:wordWrap/>
              <w:overflowPunct/>
              <w:topLinePunct w:val="0"/>
              <w:autoSpaceDE w:val="0"/>
              <w:autoSpaceDN w:val="0"/>
              <w:bidi w:val="0"/>
              <w:adjustRightInd/>
              <w:snapToGrid/>
              <w:spacing w:before="108" w:after="0" w:line="360" w:lineRule="exact"/>
              <w:ind w:left="0" w:right="0"/>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bidi="ar-SA"/>
              </w:rPr>
              <w:t>16106.19</w:t>
            </w:r>
          </w:p>
        </w:tc>
      </w:tr>
    </w:tbl>
    <w:p>
      <w:pPr>
        <w:snapToGrid w:val="0"/>
        <w:spacing w:line="360" w:lineRule="exact"/>
        <w:ind w:firstLine="420" w:firstLineChars="200"/>
        <w:rPr>
          <w:rFonts w:hint="eastAsia" w:ascii="宋体" w:hAnsi="宋体" w:cs="Arial"/>
          <w:color w:val="auto"/>
          <w:kern w:val="0"/>
          <w:szCs w:val="21"/>
          <w:highlight w:val="none"/>
          <w:lang w:val="en-US" w:eastAsia="zh-CN"/>
        </w:rPr>
      </w:pPr>
    </w:p>
    <w:p>
      <w:pPr>
        <w:snapToGrid w:val="0"/>
        <w:spacing w:line="360" w:lineRule="exact"/>
        <w:ind w:firstLine="420" w:firstLineChars="200"/>
        <w:rPr>
          <w:rFonts w:hint="eastAsia" w:ascii="宋体" w:hAnsi="宋体" w:cs="Arial"/>
          <w:color w:val="auto"/>
          <w:kern w:val="0"/>
          <w:szCs w:val="21"/>
          <w:highlight w:val="none"/>
          <w:lang w:val="en-US"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hint="eastAsia" w:eastAsia="宋体" w:cs="宋体"/>
          <w:b/>
          <w:color w:val="auto"/>
          <w:sz w:val="21"/>
          <w:szCs w:val="21"/>
          <w:highlight w:val="none"/>
          <w:lang w:val="zh-CN"/>
        </w:rPr>
      </w:pPr>
      <w:r>
        <w:rPr>
          <w:rFonts w:hint="eastAsia" w:eastAsia="宋体" w:cs="宋体"/>
          <w:b/>
          <w:color w:val="auto"/>
          <w:sz w:val="21"/>
          <w:szCs w:val="21"/>
          <w:highlight w:val="none"/>
          <w:lang w:val="zh-CN"/>
        </w:rPr>
        <w:t xml:space="preserve">                               </w:t>
      </w:r>
      <w:r>
        <w:rPr>
          <w:rFonts w:hint="eastAsia" w:eastAsia="宋体" w:cs="宋体"/>
          <w:b/>
          <w:color w:val="auto"/>
          <w:sz w:val="21"/>
          <w:szCs w:val="21"/>
          <w:highlight w:val="none"/>
          <w:lang w:val="en-US" w:eastAsia="zh-CN"/>
        </w:rPr>
        <w:t xml:space="preserve">                         </w:t>
      </w:r>
      <w:r>
        <w:rPr>
          <w:rFonts w:hint="eastAsia" w:eastAsia="宋体" w:cs="宋体"/>
          <w:b/>
          <w:color w:val="auto"/>
          <w:sz w:val="21"/>
          <w:szCs w:val="21"/>
          <w:highlight w:val="none"/>
          <w:lang w:val="zh-CN"/>
        </w:rPr>
        <w:t xml:space="preserve">   合同编号：</w:t>
      </w:r>
    </w:p>
    <w:p>
      <w:pPr>
        <w:pStyle w:val="6"/>
        <w:spacing w:line="400" w:lineRule="exact"/>
        <w:rPr>
          <w:rFonts w:hint="eastAsia" w:eastAsia="宋体" w:cs="宋体"/>
          <w:b/>
          <w:color w:val="auto"/>
          <w:sz w:val="21"/>
          <w:szCs w:val="21"/>
          <w:highlight w:val="none"/>
          <w:lang w:val="zh-CN"/>
        </w:rPr>
      </w:pPr>
      <w:r>
        <w:rPr>
          <w:rFonts w:hint="eastAsia" w:eastAsia="宋体" w:cs="宋体"/>
          <w:b/>
          <w:color w:val="auto"/>
          <w:sz w:val="21"/>
          <w:szCs w:val="21"/>
          <w:highlight w:val="none"/>
          <w:lang w:val="zh-CN"/>
        </w:rPr>
        <w:t>甲方：</w:t>
      </w:r>
      <w:r>
        <w:rPr>
          <w:rFonts w:hint="eastAsia" w:eastAsia="宋体" w:cs="宋体"/>
          <w:b/>
          <w:color w:val="auto"/>
          <w:sz w:val="21"/>
          <w:szCs w:val="21"/>
          <w:highlight w:val="none"/>
          <w:u w:val="single"/>
          <w:lang w:val="en-US" w:eastAsia="zh-CN"/>
        </w:rPr>
        <w:t xml:space="preserve"> </w:t>
      </w:r>
      <w:r>
        <w:rPr>
          <w:rFonts w:hint="eastAsia" w:eastAsia="宋体" w:cs="宋体"/>
          <w:b/>
          <w:color w:val="auto"/>
          <w:sz w:val="21"/>
          <w:szCs w:val="21"/>
          <w:highlight w:val="none"/>
          <w:u w:val="single"/>
          <w:lang w:val="zh-CN"/>
        </w:rPr>
        <w:t xml:space="preserve">江苏银行股份有限公司常州分行 </w:t>
      </w:r>
      <w:r>
        <w:rPr>
          <w:rFonts w:hint="eastAsia" w:eastAsia="宋体" w:cs="宋体"/>
          <w:b/>
          <w:color w:val="auto"/>
          <w:sz w:val="21"/>
          <w:szCs w:val="21"/>
          <w:highlight w:val="none"/>
          <w:lang w:val="zh-CN"/>
        </w:rPr>
        <w:t xml:space="preserve">                       签订地点：</w:t>
      </w:r>
    </w:p>
    <w:p>
      <w:pPr>
        <w:pStyle w:val="6"/>
        <w:spacing w:line="400" w:lineRule="exact"/>
        <w:rPr>
          <w:rFonts w:hint="eastAsia" w:eastAsia="宋体" w:cs="宋体"/>
          <w:b/>
          <w:color w:val="auto"/>
          <w:sz w:val="21"/>
          <w:szCs w:val="21"/>
          <w:highlight w:val="none"/>
          <w:lang w:val="zh-CN"/>
        </w:rPr>
      </w:pPr>
      <w:r>
        <w:rPr>
          <w:rFonts w:hint="eastAsia" w:eastAsia="宋体" w:cs="宋体"/>
          <w:b/>
          <w:color w:val="auto"/>
          <w:sz w:val="21"/>
          <w:szCs w:val="21"/>
          <w:highlight w:val="none"/>
          <w:lang w:val="zh-CN"/>
        </w:rPr>
        <w:t>乙方：</w:t>
      </w:r>
      <w:r>
        <w:rPr>
          <w:rFonts w:hint="eastAsia" w:eastAsia="宋体" w:cs="宋体"/>
          <w:b/>
          <w:color w:val="auto"/>
          <w:sz w:val="21"/>
          <w:szCs w:val="21"/>
          <w:highlight w:val="none"/>
          <w:u w:val="single"/>
          <w:lang w:val="zh-CN"/>
        </w:rPr>
        <w:t xml:space="preserve">                              </w:t>
      </w:r>
      <w:r>
        <w:rPr>
          <w:rFonts w:hint="eastAsia" w:eastAsia="宋体" w:cs="宋体"/>
          <w:b/>
          <w:color w:val="auto"/>
          <w:sz w:val="21"/>
          <w:szCs w:val="21"/>
          <w:highlight w:val="none"/>
          <w:lang w:val="zh-CN"/>
        </w:rPr>
        <w:t xml:space="preserve">                     </w:t>
      </w:r>
      <w:r>
        <w:rPr>
          <w:rFonts w:hint="eastAsia" w:eastAsia="宋体" w:cs="宋体"/>
          <w:b/>
          <w:color w:val="auto"/>
          <w:sz w:val="21"/>
          <w:szCs w:val="21"/>
          <w:highlight w:val="none"/>
          <w:lang w:val="en-US" w:eastAsia="zh-CN"/>
        </w:rPr>
        <w:t xml:space="preserve"> </w:t>
      </w:r>
      <w:r>
        <w:rPr>
          <w:rFonts w:hint="eastAsia" w:eastAsia="宋体" w:cs="宋体"/>
          <w:b/>
          <w:color w:val="auto"/>
          <w:sz w:val="21"/>
          <w:szCs w:val="21"/>
          <w:highlight w:val="none"/>
          <w:lang w:val="zh-CN"/>
        </w:rPr>
        <w:t xml:space="preserve"> 签订时间：</w:t>
      </w:r>
    </w:p>
    <w:p>
      <w:pPr>
        <w:adjustRightInd w:val="0"/>
        <w:snapToGrid w:val="0"/>
        <w:spacing w:line="360" w:lineRule="exact"/>
        <w:ind w:firstLine="422" w:firstLineChars="201"/>
        <w:rPr>
          <w:rFonts w:hint="eastAsia" w:asciiTheme="minorEastAsia" w:hAnsiTheme="minorEastAsia" w:eastAsiaTheme="minorEastAsia"/>
          <w:color w:val="auto"/>
          <w:szCs w:val="21"/>
          <w:highlight w:val="none"/>
          <w:lang w:val="zh-CN"/>
        </w:rPr>
      </w:pPr>
    </w:p>
    <w:p>
      <w:pPr>
        <w:adjustRightInd w:val="0"/>
        <w:snapToGrid w:val="0"/>
        <w:spacing w:line="360" w:lineRule="exact"/>
        <w:ind w:firstLine="422" w:firstLineChars="201"/>
        <w:rPr>
          <w:rFonts w:hint="eastAsia" w:asciiTheme="minorEastAsia" w:hAnsiTheme="minorEastAsia" w:eastAsiaTheme="minorEastAsia"/>
          <w:color w:val="auto"/>
          <w:szCs w:val="21"/>
          <w:highlight w:val="none"/>
          <w:lang w:val="zh-CN"/>
        </w:rPr>
      </w:pPr>
      <w:r>
        <w:rPr>
          <w:rFonts w:hint="eastAsia" w:asciiTheme="minorEastAsia" w:hAnsiTheme="minorEastAsia" w:eastAsiaTheme="minorEastAsia"/>
          <w:color w:val="auto"/>
          <w:szCs w:val="21"/>
          <w:highlight w:val="none"/>
          <w:lang w:val="zh-CN"/>
        </w:rPr>
        <w:t>甲乙双方经过友好协商，对江苏银行股份有限公司常州</w:t>
      </w:r>
      <w:r>
        <w:rPr>
          <w:rFonts w:hint="eastAsia" w:asciiTheme="minorEastAsia" w:hAnsiTheme="minorEastAsia" w:eastAsiaTheme="minorEastAsia"/>
          <w:color w:val="auto"/>
          <w:szCs w:val="21"/>
          <w:highlight w:val="none"/>
          <w:u w:val="single"/>
          <w:lang w:val="zh-CN"/>
        </w:rPr>
        <w:t xml:space="preserve">           </w:t>
      </w:r>
      <w:r>
        <w:rPr>
          <w:rFonts w:hint="eastAsia" w:asciiTheme="minorEastAsia" w:hAnsiTheme="minorEastAsia" w:eastAsiaTheme="minorEastAsia"/>
          <w:color w:val="auto"/>
          <w:szCs w:val="21"/>
          <w:highlight w:val="none"/>
          <w:lang w:val="zh-CN"/>
        </w:rPr>
        <w:t>监控系统工程的设备采购与安装调试达成如下条款。</w:t>
      </w:r>
    </w:p>
    <w:p>
      <w:pPr>
        <w:pStyle w:val="6"/>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eastAsia="宋体" w:cs="宋体"/>
          <w:b/>
          <w:color w:val="auto"/>
          <w:sz w:val="21"/>
          <w:szCs w:val="21"/>
          <w:highlight w:val="none"/>
          <w:lang w:val="zh-CN"/>
        </w:rPr>
      </w:pPr>
      <w:r>
        <w:rPr>
          <w:rFonts w:hint="eastAsia" w:eastAsia="宋体" w:cs="宋体"/>
          <w:b/>
          <w:color w:val="auto"/>
          <w:sz w:val="21"/>
          <w:szCs w:val="21"/>
          <w:highlight w:val="none"/>
          <w:lang w:val="zh-CN"/>
        </w:rPr>
        <w:t>第一条</w:t>
      </w:r>
      <w:r>
        <w:rPr>
          <w:rFonts w:hint="eastAsia" w:eastAsia="宋体" w:cs="宋体"/>
          <w:b/>
          <w:color w:val="auto"/>
          <w:sz w:val="21"/>
          <w:szCs w:val="21"/>
          <w:highlight w:val="none"/>
          <w:lang w:val="en-US" w:eastAsia="zh-CN"/>
        </w:rPr>
        <w:t xml:space="preserve">  </w:t>
      </w:r>
      <w:r>
        <w:rPr>
          <w:rFonts w:hint="eastAsia" w:eastAsia="宋体" w:cs="宋体"/>
          <w:b/>
          <w:color w:val="auto"/>
          <w:sz w:val="21"/>
          <w:szCs w:val="21"/>
          <w:highlight w:val="none"/>
          <w:lang w:val="zh-CN"/>
        </w:rPr>
        <w:t>标的物</w:t>
      </w:r>
    </w:p>
    <w:tbl>
      <w:tblPr>
        <w:tblStyle w:val="10"/>
        <w:tblW w:w="831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7"/>
        <w:gridCol w:w="1326"/>
        <w:gridCol w:w="1345"/>
        <w:gridCol w:w="1320"/>
        <w:gridCol w:w="1590"/>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trPr>
        <w:tc>
          <w:tcPr>
            <w:tcW w:w="1267"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标的物名称</w:t>
            </w:r>
          </w:p>
        </w:tc>
        <w:tc>
          <w:tcPr>
            <w:tcW w:w="1326"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规格型号</w:t>
            </w:r>
          </w:p>
        </w:tc>
        <w:tc>
          <w:tcPr>
            <w:tcW w:w="1345"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计量单位</w:t>
            </w:r>
          </w:p>
        </w:tc>
        <w:tc>
          <w:tcPr>
            <w:tcW w:w="1320"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159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单价</w:t>
            </w:r>
          </w:p>
        </w:tc>
        <w:tc>
          <w:tcPr>
            <w:tcW w:w="1468"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 w:hRule="atLeast"/>
        </w:trPr>
        <w:tc>
          <w:tcPr>
            <w:tcW w:w="1267"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26"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c>
          <w:tcPr>
            <w:tcW w:w="1345"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c>
          <w:tcPr>
            <w:tcW w:w="1320" w:type="dxa"/>
            <w:vMerge w:val="continue"/>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59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RMB</w:t>
            </w:r>
          </w:p>
        </w:tc>
        <w:tc>
          <w:tcPr>
            <w:tcW w:w="1468"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267"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附件一</w:t>
            </w:r>
          </w:p>
        </w:tc>
        <w:tc>
          <w:tcPr>
            <w:tcW w:w="1326"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45"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批</w:t>
            </w:r>
          </w:p>
        </w:tc>
        <w:tc>
          <w:tcPr>
            <w:tcW w:w="132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壹</w:t>
            </w:r>
          </w:p>
        </w:tc>
        <w:tc>
          <w:tcPr>
            <w:tcW w:w="159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c>
          <w:tcPr>
            <w:tcW w:w="1468"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267"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326"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45"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2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59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c>
          <w:tcPr>
            <w:tcW w:w="1468"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267"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w:t>
            </w:r>
          </w:p>
        </w:tc>
        <w:tc>
          <w:tcPr>
            <w:tcW w:w="1326"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45"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32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590"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color w:val="auto"/>
                <w:sz w:val="21"/>
                <w:szCs w:val="21"/>
                <w:highlight w:val="none"/>
              </w:rPr>
            </w:pPr>
          </w:p>
        </w:tc>
        <w:tc>
          <w:tcPr>
            <w:tcW w:w="1468"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left="991" w:leftChars="472"/>
              <w:jc w:val="center"/>
              <w:textAlignment w:val="auto"/>
              <w:rPr>
                <w:rFonts w:hint="eastAsia" w:asciiTheme="minorEastAsia" w:hAnsiTheme="minorEastAsia" w:eastAsiaTheme="minorEastAsia" w:cstheme="minorEastAsia"/>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8316" w:type="dxa"/>
            <w:gridSpan w:val="6"/>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包括附件一所含设备之采购、施工、安装、调试。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8316" w:type="dxa"/>
            <w:gridSpan w:val="6"/>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合计金额（大写）</w:t>
            </w:r>
            <w:r>
              <w:rPr>
                <w:rFonts w:hint="eastAsia" w:asciiTheme="minorEastAsia" w:hAnsiTheme="minorEastAsia" w:eastAsiaTheme="minorEastAsia" w:cstheme="minorEastAsia"/>
                <w:color w:val="auto"/>
                <w:sz w:val="21"/>
                <w:szCs w:val="21"/>
                <w:highlight w:val="none"/>
              </w:rPr>
              <w:t>：</w:t>
            </w:r>
          </w:p>
        </w:tc>
      </w:tr>
    </w:tbl>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第二条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质量要求</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乙方保证标的物按国家和厂家的质量要求和技术标准执行，是全新的、未经使用的及符合材料配置清单之要求的</w:t>
      </w:r>
      <w:r>
        <w:rPr>
          <w:rFonts w:hint="eastAsia" w:asciiTheme="minorEastAsia" w:hAnsiTheme="minorEastAsia" w:eastAsiaTheme="minorEastAsia" w:cstheme="minorEastAsia"/>
          <w:color w:val="auto"/>
          <w:sz w:val="21"/>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rPr>
        <w:t>第三条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包装标准、包装物的提供与回收：</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按生产商包装标准包装，属正常包装物由供方提供</w:t>
      </w:r>
      <w:r>
        <w:rPr>
          <w:rFonts w:hint="eastAsia" w:asciiTheme="minorEastAsia" w:hAnsiTheme="minorEastAsia" w:eastAsiaTheme="minorEastAsia" w:cstheme="minorEastAsia"/>
          <w:color w:val="auto"/>
          <w:sz w:val="21"/>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第四条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随附必备品、配件、工具的数量及提供办法：</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第五条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合理损耗标准及计算方法：</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第六条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标的物中设备之所有权自甲方或甲方指定的接收方在交接单上签字时起转移，由甲方提供符合正常安全要求的储放地。但甲方未履行合同规定的付款条件义务的，标的物中设备所有权仍属于乙方所有</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b/>
          <w:bCs/>
          <w:color w:val="auto"/>
          <w:sz w:val="21"/>
          <w:szCs w:val="21"/>
          <w:highlight w:val="none"/>
        </w:rPr>
        <w:t>第七条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交付标的物中设备的方式：</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按合同标的物中附件一所描述检查数量、规格，在甲方工地交货</w:t>
      </w:r>
      <w:r>
        <w:rPr>
          <w:rFonts w:hint="eastAsia" w:asciiTheme="minorEastAsia" w:hAnsiTheme="minorEastAsia" w:eastAsiaTheme="minorEastAsia" w:cstheme="minorEastAsia"/>
          <w:color w:val="auto"/>
          <w:sz w:val="21"/>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rPr>
        <w:t>第八条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运输方式及到达站（港）和费用负担：</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运输由乙方负责，乙方负责将货运卸到工地</w:t>
      </w:r>
      <w:r>
        <w:rPr>
          <w:rFonts w:hint="eastAsia" w:asciiTheme="minorEastAsia" w:hAnsiTheme="minorEastAsia" w:eastAsiaTheme="minorEastAsia" w:cstheme="minorEastAsia"/>
          <w:color w:val="auto"/>
          <w:sz w:val="21"/>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第九条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器材验收标准、方法、地点：</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标的物中设备验收标准以附件一为依据；地点为甲方工地。</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第十条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工期及开工日期：</w:t>
      </w:r>
      <w:r>
        <w:rPr>
          <w:rFonts w:hint="eastAsia" w:asciiTheme="minorEastAsia" w:hAnsiTheme="minorEastAsia" w:eastAsiaTheme="minorEastAsia" w:cstheme="minorEastAsia"/>
          <w:color w:val="auto"/>
          <w:sz w:val="21"/>
          <w:szCs w:val="21"/>
          <w:highlight w:val="none"/>
          <w:u w:val="single"/>
        </w:rPr>
        <w:t>开工日期为年    年    月    日，竣工日期为     年    月   日。但此竣工日期并不适用于因装修公司或其它第三方延误工期以及保安服务公司对报警主机编程的最终结束日期。</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第十一条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工程施工：</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按设计方案进行规范、科学地施工；</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在施工过程中，有义务向甲方提供合理化建议，供甲方参考；</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安装、调试结束后乙方负责为甲方维护人员进行培训；</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准备验收资料，会同甲方及公安局进行工程验收；</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工程验收合格后及时向甲方提交竣工资料；</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在施工过程中，乙方将本着先处理问题，后区分责任的原则，处理施工中所遇到的问题；</w:t>
      </w:r>
    </w:p>
    <w:p>
      <w:pPr>
        <w:keepNext w:val="0"/>
        <w:keepLines w:val="0"/>
        <w:pageBreakBefore w:val="0"/>
        <w:widowControl w:val="0"/>
        <w:tabs>
          <w:tab w:val="left" w:pos="1320"/>
        </w:tabs>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因甲方单位的特殊性,乙方在施工过程中需遵守甲方的作习时间与管理制度</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第十二条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设备的安装与调试：</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标的物设备由乙方负责施工与安装、调试，甲方清理现场后由甲方负责已安装设备与已完工工程的现场保卫工作</w:t>
      </w:r>
      <w:r>
        <w:rPr>
          <w:rFonts w:hint="eastAsia" w:asciiTheme="minorEastAsia" w:hAnsiTheme="minorEastAsia" w:eastAsiaTheme="minorEastAsia" w:cstheme="minorEastAsia"/>
          <w:color w:val="auto"/>
          <w:sz w:val="21"/>
          <w:szCs w:val="21"/>
          <w:highlight w:val="none"/>
          <w:u w:val="singl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第十三条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安防工程验收：</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乙方在施工完成后进行自检，并准备验收资料。自检中发现问题及时整改，并进行复检，复检通过后提前三天通知甲方与公安部门到现场验收，验收以附件一中所选设备之正常工作值为标准。</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b/>
          <w:bCs/>
          <w:color w:val="auto"/>
          <w:sz w:val="21"/>
          <w:szCs w:val="21"/>
          <w:highlight w:val="none"/>
        </w:rPr>
        <w:t>第十四条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对标的物质量负责的条件及期限：</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监控系统质量保证期为验收合格之日起享受三年免费质保；质保期满后另行协商维护的方式方法。但此条款并不适用于因甲方工作人员操作不当或人为损坏以及不可抗力引起的故障或损失。</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 xml:space="preserve">第十五条 </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结算方式、时间：</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本合同项下工程完工通过验收后，乙方于十日内完成工程决算书的编制，并提供竣工图纸与工程签证资料（如果有），并经甲方签字确认后，提交给第三方审计公司进行工程量审计，并以甲乙双方认可的审计结果作为最终结算依据。</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第十六条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付款方式、时间：</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本合同项下工作内容完成后，甲方一次性向乙方支付本合同金额。如果依据甲方要求需对项目进行审计，则最终付款金额以甲乙双方认可的审定金额为准。合同内价格均为含税价，工程完工后乙方出具增值税专用发票，甲方在收到增值税专用发票后15日内向乙方付清工程款</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第十七条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担保方式（也可另立担保合同）：</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第十八条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本合同解除的条件：</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本合同执行期内，双方均不得随意变更或解除合同。</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第十九条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合同争议的解决方式：本合同项下发生的争议，由双方当事人协商解决；也可由当地工商行政管理部门调解；协商或调解不成的，按下列第</w:t>
      </w:r>
      <w:r>
        <w:rPr>
          <w:rFonts w:hint="eastAsia" w:asciiTheme="minorEastAsia" w:hAnsiTheme="minorEastAsia" w:eastAsiaTheme="minorEastAsia" w:cstheme="minorEastAsia"/>
          <w:color w:val="auto"/>
          <w:sz w:val="21"/>
          <w:szCs w:val="21"/>
          <w:highlight w:val="none"/>
          <w:u w:val="single"/>
        </w:rPr>
        <w:t>（二）</w:t>
      </w:r>
      <w:r>
        <w:rPr>
          <w:rFonts w:hint="eastAsia" w:asciiTheme="minorEastAsia" w:hAnsiTheme="minorEastAsia" w:eastAsiaTheme="minorEastAsia" w:cstheme="minorEastAsia"/>
          <w:color w:val="auto"/>
          <w:sz w:val="21"/>
          <w:szCs w:val="21"/>
          <w:highlight w:val="none"/>
        </w:rPr>
        <w:t>种方式解决；</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（一）提交促裁委员会仲裁；</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（二）依法向</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甲方所在地</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rPr>
        <w:t>的</w:t>
      </w:r>
      <w:r>
        <w:rPr>
          <w:rFonts w:hint="eastAsia" w:asciiTheme="minorEastAsia" w:hAnsiTheme="minorEastAsia" w:eastAsiaTheme="minorEastAsia" w:cstheme="minorEastAsia"/>
          <w:color w:val="auto"/>
          <w:sz w:val="21"/>
          <w:szCs w:val="21"/>
          <w:highlight w:val="none"/>
        </w:rPr>
        <w:t>人民法院起诉。</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第二十条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其他约定事项：</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（一）</w:t>
      </w:r>
      <w:r>
        <w:rPr>
          <w:rFonts w:hint="eastAsia" w:asciiTheme="minorEastAsia" w:hAnsiTheme="minorEastAsia" w:eastAsiaTheme="minorEastAsia" w:cstheme="minorEastAsia"/>
          <w:b/>
          <w:bCs/>
          <w:color w:val="auto"/>
          <w:sz w:val="21"/>
          <w:szCs w:val="21"/>
          <w:highlight w:val="none"/>
        </w:rPr>
        <w:t>不可抗力</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不可抗力是指气象部门、地震局及其它政府部门发布的灾害性天气或事件并可直接影响合同当事人的一方或多方对合同中规定条款的履行能力。</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（二）</w:t>
      </w:r>
      <w:r>
        <w:rPr>
          <w:rFonts w:hint="eastAsia" w:asciiTheme="minorEastAsia" w:hAnsiTheme="minorEastAsia" w:eastAsiaTheme="minorEastAsia" w:cstheme="minorEastAsia"/>
          <w:b/>
          <w:bCs/>
          <w:color w:val="auto"/>
          <w:sz w:val="21"/>
          <w:szCs w:val="21"/>
          <w:highlight w:val="none"/>
        </w:rPr>
        <w:t>工程审计</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本合同为固定单价合同，由审计部门对工程量进行审计。所使用材料在合同附件范围内的，按合同附件单价计算，不在合同范围内的，按常州市定额信息指导价结算。</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（三）附件一被视为本合同不可分割的组成部分。</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（四）乙方在施工过程中应安全施工，如果因乙方在施工过程给甲方或第三方造成损失，则所产生的责任及经济损失由乙方自行承担。</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（五）结算送审价格与结算审定价格核减在5%以内（含5%）审计费由甲方支付，核减率超5%的审计费由乙方支付，并在决算中扣除。</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2"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第二十一条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乙方对标的物做如下服务承诺：自合同标的物投入使用之日起，接到甲方或经甲方授权的人员维修通知电话后，四小时内派人到现场进行维修服务，并出具维修记录清单，维修完成后交由甲方或甲方授权人员签字认可；同时，对本次招标标的物开箱不合格的，实行免费包退包换；对其中的主要配件及易耗件，提供相应备品备件，当标的物中设备发生故障无法修复时，在最短时间（8小时以内）内用备品备件替换故障设备，以确保甲方安防系统的正常可靠运行。</w:t>
      </w:r>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第二十二条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本合同</w:t>
      </w:r>
      <w:r>
        <w:rPr>
          <w:rFonts w:hint="eastAsia" w:asciiTheme="minorEastAsia" w:hAnsiTheme="minorEastAsia" w:eastAsiaTheme="minorEastAsia" w:cstheme="minorEastAsia"/>
          <w:color w:val="auto"/>
          <w:sz w:val="21"/>
          <w:szCs w:val="21"/>
          <w:highlight w:val="none"/>
          <w:lang w:val="en-US" w:eastAsia="zh-CN"/>
        </w:rPr>
        <w:t>一</w:t>
      </w:r>
      <w:r>
        <w:rPr>
          <w:rFonts w:hint="eastAsia" w:asciiTheme="minorEastAsia" w:hAnsiTheme="minorEastAsia" w:eastAsiaTheme="minorEastAsia" w:cstheme="minorEastAsia"/>
          <w:color w:val="auto"/>
          <w:sz w:val="21"/>
          <w:szCs w:val="21"/>
          <w:highlight w:val="none"/>
        </w:rPr>
        <w:t>式</w:t>
      </w:r>
      <w:r>
        <w:rPr>
          <w:rFonts w:hint="eastAsia" w:asciiTheme="minorEastAsia" w:hAnsiTheme="minorEastAsia" w:eastAsiaTheme="minorEastAsia" w:cstheme="minorEastAsia"/>
          <w:color w:val="auto"/>
          <w:sz w:val="21"/>
          <w:szCs w:val="21"/>
          <w:highlight w:val="none"/>
          <w:lang w:val="en-US" w:eastAsia="zh-CN"/>
        </w:rPr>
        <w:t>肆</w:t>
      </w:r>
      <w:r>
        <w:rPr>
          <w:rFonts w:hint="eastAsia" w:asciiTheme="minorEastAsia" w:hAnsiTheme="minorEastAsia" w:eastAsiaTheme="minorEastAsia" w:cstheme="minorEastAsia"/>
          <w:color w:val="auto"/>
          <w:sz w:val="21"/>
          <w:szCs w:val="21"/>
          <w:highlight w:val="none"/>
        </w:rPr>
        <w:t>份，甲乙双方各执</w:t>
      </w:r>
      <w:r>
        <w:rPr>
          <w:rFonts w:hint="eastAsia" w:asciiTheme="minorEastAsia" w:hAnsiTheme="minorEastAsia" w:eastAsiaTheme="minorEastAsia" w:cstheme="minorEastAsia"/>
          <w:color w:val="auto"/>
          <w:sz w:val="21"/>
          <w:szCs w:val="21"/>
          <w:highlight w:val="none"/>
          <w:lang w:val="en-US" w:eastAsia="zh-CN"/>
        </w:rPr>
        <w:t>贰</w:t>
      </w:r>
      <w:r>
        <w:rPr>
          <w:rFonts w:hint="eastAsia" w:asciiTheme="minorEastAsia" w:hAnsiTheme="minorEastAsia" w:eastAsiaTheme="minorEastAsia" w:cstheme="minorEastAsia"/>
          <w:color w:val="auto"/>
          <w:sz w:val="21"/>
          <w:szCs w:val="21"/>
          <w:highlight w:val="none"/>
        </w:rPr>
        <w:t>份，自双方签字盖章起生效。</w:t>
      </w: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b w:val="0"/>
          <w:bCs/>
          <w:color w:val="auto"/>
          <w:szCs w:val="21"/>
          <w:highlight w:val="none"/>
        </w:rPr>
      </w:pPr>
      <w:r>
        <w:rPr>
          <w:rFonts w:hint="eastAsia" w:ascii="宋体" w:hAnsi="宋体"/>
          <w:b w:val="0"/>
          <w:bCs/>
          <w:color w:val="auto"/>
          <w:szCs w:val="21"/>
          <w:highlight w:val="none"/>
        </w:rPr>
        <w:t>一</w:t>
      </w:r>
      <w:r>
        <w:rPr>
          <w:rFonts w:ascii="宋体" w:hAnsi="宋体"/>
          <w:b w:val="0"/>
          <w:bCs/>
          <w:color w:val="auto"/>
          <w:szCs w:val="21"/>
          <w:highlight w:val="none"/>
        </w:rPr>
        <w:t>、</w:t>
      </w:r>
      <w:r>
        <w:rPr>
          <w:rFonts w:hint="eastAsia" w:ascii="宋体" w:hAnsi="宋体"/>
          <w:b w:val="0"/>
          <w:bCs/>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val="0"/>
        <w:spacing w:line="360" w:lineRule="exact"/>
        <w:ind w:firstLine="396" w:firstLineChars="200"/>
        <w:textAlignment w:val="auto"/>
        <w:rPr>
          <w:b w:val="0"/>
          <w:bCs/>
          <w:color w:val="auto"/>
          <w:highlight w:val="none"/>
        </w:rPr>
      </w:pPr>
      <w:r>
        <w:rPr>
          <w:rFonts w:hint="eastAsia" w:ascii="宋体" w:hAnsi="宋体"/>
          <w:b w:val="0"/>
          <w:bCs/>
          <w:color w:val="auto"/>
          <w:spacing w:val="-6"/>
          <w:szCs w:val="21"/>
          <w:highlight w:val="none"/>
        </w:rPr>
        <w:t>二</w:t>
      </w:r>
      <w:r>
        <w:rPr>
          <w:rFonts w:ascii="宋体" w:hAnsi="宋体"/>
          <w:b w:val="0"/>
          <w:bCs/>
          <w:color w:val="auto"/>
          <w:spacing w:val="-6"/>
          <w:szCs w:val="21"/>
          <w:highlight w:val="none"/>
        </w:rPr>
        <w:t>、</w:t>
      </w:r>
      <w:r>
        <w:rPr>
          <w:rFonts w:hint="eastAsia"/>
          <w:b w:val="0"/>
          <w:bCs/>
          <w:color w:val="auto"/>
          <w:highlight w:val="none"/>
        </w:rPr>
        <w:t>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b w:val="0"/>
          <w:bCs/>
          <w:color w:val="auto"/>
          <w:highlight w:val="none"/>
        </w:rPr>
      </w:pPr>
      <w:r>
        <w:rPr>
          <w:rFonts w:hint="eastAsia"/>
          <w:b w:val="0"/>
          <w:bCs/>
          <w:color w:val="auto"/>
          <w:highlight w:val="none"/>
        </w:rPr>
        <w:t>三</w:t>
      </w:r>
      <w:r>
        <w:rPr>
          <w:b w:val="0"/>
          <w:bCs/>
          <w:color w:val="auto"/>
          <w:highlight w:val="none"/>
        </w:rPr>
        <w:t>、</w:t>
      </w:r>
      <w:r>
        <w:rPr>
          <w:rFonts w:hint="eastAsia"/>
          <w:b w:val="0"/>
          <w:bCs/>
          <w:color w:val="auto"/>
          <w:highlight w:val="none"/>
        </w:rPr>
        <w:t>报价相同的，由采购人抽签确定成交供应商。</w:t>
      </w:r>
    </w:p>
    <w:p>
      <w:pPr>
        <w:spacing w:line="360" w:lineRule="exact"/>
        <w:ind w:firstLine="411" w:firstLineChars="196"/>
        <w:rPr>
          <w:rFonts w:hint="eastAsia" w:ascii="宋体" w:hAnsi="宋体"/>
          <w:color w:val="auto"/>
          <w:szCs w:val="21"/>
          <w:highlight w:val="none"/>
        </w:rPr>
      </w:pP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5"/>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val="en-US" w:eastAsia="zh-CN"/>
        </w:rPr>
        <w:t>谈判</w:t>
      </w:r>
      <w:r>
        <w:rPr>
          <w:rFonts w:hint="eastAsia" w:ascii="宋体" w:hAnsi="宋体"/>
          <w:color w:val="auto"/>
          <w:szCs w:val="21"/>
          <w:highlight w:val="none"/>
        </w:rPr>
        <w:t>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val="en-US" w:eastAsia="zh-CN"/>
        </w:rPr>
        <w:t>谈判</w:t>
      </w:r>
      <w:r>
        <w:rPr>
          <w:rFonts w:hint="eastAsia" w:ascii="宋体" w:hAnsi="宋体"/>
          <w:color w:val="auto"/>
          <w:szCs w:val="21"/>
          <w:highlight w:val="none"/>
        </w:rPr>
        <w:t>现场秩序的，以及在答疑、领取招标文件、办理相关手续过程中扰乱正常办公秩序的；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（五）在采购过程中与</w:t>
      </w:r>
      <w:r>
        <w:rPr>
          <w:rFonts w:hint="eastAsia" w:ascii="宋体" w:hAnsi="宋体"/>
          <w:color w:val="auto"/>
          <w:szCs w:val="21"/>
          <w:highlight w:val="none"/>
          <w:lang w:eastAsia="zh-CN"/>
        </w:rPr>
        <w:t>采购人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9"/>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江苏银行股份有限公司常州分行、</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文件及其准备（包括现场踏勘、技术核对等）、设备（包括备品备件、专用工具）、技术资料、设计、制造、检验、包装、发货、运输、装卸至现场指定地点、安装调试、技术指导培训、质保期及维保服务和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保证金；若我单位成交，我单位愿意在签订合同前支付履约保证金，并按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5"/>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color w:val="auto"/>
                <w:szCs w:val="21"/>
                <w:highlight w:val="none"/>
                <w:lang w:eastAsia="zh-CN"/>
              </w:rPr>
            </w:pPr>
            <w:r>
              <w:rPr>
                <w:rFonts w:hint="eastAsia" w:ascii="宋体" w:hAnsi="宋体"/>
                <w:color w:val="auto"/>
                <w:szCs w:val="21"/>
                <w:highlight w:val="none"/>
              </w:rPr>
              <w:t>不含增值税总价</w:t>
            </w:r>
          </w:p>
        </w:tc>
        <w:tc>
          <w:tcPr>
            <w:tcW w:w="6662" w:type="dxa"/>
            <w:vAlign w:val="center"/>
          </w:tcPr>
          <w:p>
            <w:pPr>
              <w:jc w:val="center"/>
              <w:rPr>
                <w:rFonts w:hint="eastAsia" w:ascii="宋体" w:hAnsi="宋体"/>
                <w:color w:val="auto"/>
                <w:szCs w:val="21"/>
                <w:highlight w:val="none"/>
              </w:rPr>
            </w:pPr>
          </w:p>
          <w:p>
            <w:pPr>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color w:val="auto"/>
                <w:szCs w:val="21"/>
                <w:highlight w:val="none"/>
                <w:lang w:eastAsia="zh-CN"/>
              </w:rPr>
            </w:pPr>
            <w:r>
              <w:rPr>
                <w:rFonts w:hint="eastAsia" w:ascii="宋体" w:hAnsi="宋体"/>
                <w:color w:val="auto"/>
                <w:szCs w:val="21"/>
                <w:highlight w:val="none"/>
              </w:rPr>
              <w:t>增值税税率</w:t>
            </w:r>
          </w:p>
        </w:tc>
        <w:tc>
          <w:tcPr>
            <w:tcW w:w="6662" w:type="dxa"/>
            <w:vAlign w:val="center"/>
          </w:tcPr>
          <w:p>
            <w:pPr>
              <w:jc w:val="center"/>
              <w:rPr>
                <w:rFonts w:hint="eastAsia" w:ascii="宋体" w:hAnsi="宋体"/>
                <w:color w:val="auto"/>
                <w:szCs w:val="21"/>
                <w:highlight w:val="none"/>
              </w:rPr>
            </w:pPr>
          </w:p>
          <w:p>
            <w:pPr>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color w:val="auto"/>
                <w:szCs w:val="21"/>
                <w:highlight w:val="none"/>
                <w:lang w:eastAsia="zh-CN"/>
              </w:rPr>
            </w:pPr>
            <w:r>
              <w:rPr>
                <w:rFonts w:hint="eastAsia" w:ascii="宋体" w:hAnsi="宋体"/>
                <w:color w:val="auto"/>
                <w:szCs w:val="21"/>
                <w:highlight w:val="none"/>
              </w:rPr>
              <w:t>增值税税额</w:t>
            </w:r>
          </w:p>
        </w:tc>
        <w:tc>
          <w:tcPr>
            <w:tcW w:w="6662" w:type="dxa"/>
            <w:vAlign w:val="center"/>
          </w:tcPr>
          <w:p>
            <w:pPr>
              <w:jc w:val="center"/>
              <w:rPr>
                <w:rFonts w:hint="eastAsia" w:ascii="宋体" w:hAnsi="宋体"/>
                <w:color w:val="auto"/>
                <w:szCs w:val="21"/>
                <w:highlight w:val="none"/>
              </w:rPr>
            </w:pPr>
          </w:p>
          <w:p>
            <w:pPr>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color w:val="auto"/>
                <w:szCs w:val="21"/>
                <w:highlight w:val="none"/>
                <w:lang w:eastAsia="zh-CN"/>
              </w:rPr>
            </w:pPr>
            <w:r>
              <w:rPr>
                <w:rFonts w:hint="eastAsia" w:ascii="宋体" w:hAnsi="宋体"/>
                <w:color w:val="auto"/>
                <w:szCs w:val="21"/>
                <w:highlight w:val="none"/>
              </w:rPr>
              <w:t>含增值税总价</w:t>
            </w:r>
          </w:p>
        </w:tc>
        <w:tc>
          <w:tcPr>
            <w:tcW w:w="6662" w:type="dxa"/>
            <w:vAlign w:val="center"/>
          </w:tcPr>
          <w:p>
            <w:pPr>
              <w:jc w:val="center"/>
              <w:rPr>
                <w:rFonts w:hint="eastAsia" w:ascii="宋体" w:hAnsi="宋体"/>
                <w:color w:val="auto"/>
                <w:szCs w:val="21"/>
                <w:highlight w:val="none"/>
              </w:rPr>
            </w:pPr>
          </w:p>
          <w:p>
            <w:pPr>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583"/>
        <w:gridCol w:w="1704"/>
        <w:gridCol w:w="730"/>
        <w:gridCol w:w="609"/>
        <w:gridCol w:w="882"/>
        <w:gridCol w:w="701"/>
        <w:gridCol w:w="730"/>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2" w:type="dxa"/>
            <w:gridSpan w:val="9"/>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bookmarkStart w:id="43" w:name="_GoBack"/>
            <w:r>
              <w:rPr>
                <w:rFonts w:hint="eastAsia" w:asciiTheme="minorEastAsia" w:hAnsiTheme="minorEastAsia" w:eastAsiaTheme="minorEastAsia" w:cstheme="minorEastAsia"/>
                <w:color w:val="auto"/>
                <w:kern w:val="0"/>
                <w:sz w:val="21"/>
                <w:szCs w:val="21"/>
                <w:highlight w:val="none"/>
              </w:rPr>
              <w:t>第一部分、监控系统工程主材费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48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名称</w:t>
            </w:r>
          </w:p>
        </w:tc>
        <w:tc>
          <w:tcPr>
            <w:tcW w:w="17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型号</w:t>
            </w:r>
          </w:p>
        </w:tc>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数量</w:t>
            </w:r>
          </w:p>
        </w:tc>
        <w:tc>
          <w:tcPr>
            <w:tcW w:w="60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单位</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品牌</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单价</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(元）</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小计</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（元）</w:t>
            </w: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16盘位32路NVR</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NVR-SN32I</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含鼠标音箱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超脑主机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iDS-6708NX/A</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4T工控硬盘</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ST4000VX000</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8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希捷</w:t>
            </w:r>
          </w:p>
        </w:tc>
        <w:tc>
          <w:tcPr>
            <w:tcW w:w="70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智能行为分析摄像机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DS-2CD844Z-VIS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800W彩色红外宽动态网络摄像机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DS-FCN8027-VIS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500W彩色红外宽动态网络摄像机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DS-FCN6027-VIS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200W彩色红外宽动态网络摄像机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DS-FCN202X-VIS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200W彩色枪式宽动态网络摄像机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DS-FCN2002-VIW</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200W彩色网络红外半球摄像机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DS-FCN2057-VIS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200W彩色网络超宽动态半球摄像机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DS-FCN2057-VIW</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200W彩色迷你网络半球摄像机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DS-2CD2525EF</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安消一体摄像机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NP-FVY200</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200W彩色网络针孔摄像机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DS-2CD2D2Z-VIS</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窗口拾音器（高清）</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TS-804A</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智能设备拾音器（螺栓）</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TS-808A</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48口网络交换机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S5048V2-EI</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H3C</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单路视频点钞叠加器</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WL201</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一点通</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支持A级点钞机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IP对讲主机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NTA-3602A</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含一台分机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IP对讲分机</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NTA-3602B</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自助行来人提示喇叭</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NAC-103</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世邦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网络机柜</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40U</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浙江神虎</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报警联动模块</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NAL-7400</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彩色液晶监视器</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P22</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飞利浦</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LED灯</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S-8100</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新视</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含联动控制箱、继电器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开关电源</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DC12V/8.5A</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明纬</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四门网络门禁系统</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WGAT8004</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含机箱电源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25</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读卡器（密码刷卡）</w:t>
            </w:r>
          </w:p>
        </w:tc>
        <w:tc>
          <w:tcPr>
            <w:tcW w:w="17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WG1081</w:t>
            </w:r>
          </w:p>
        </w:tc>
        <w:tc>
          <w:tcPr>
            <w:tcW w:w="73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0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单门磁力锁</w:t>
            </w:r>
          </w:p>
        </w:tc>
        <w:tc>
          <w:tcPr>
            <w:tcW w:w="17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280</w:t>
            </w:r>
          </w:p>
        </w:tc>
        <w:tc>
          <w:tcPr>
            <w:tcW w:w="73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0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出门按钮</w:t>
            </w:r>
          </w:p>
        </w:tc>
        <w:tc>
          <w:tcPr>
            <w:tcW w:w="17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EB01</w:t>
            </w:r>
          </w:p>
        </w:tc>
        <w:tc>
          <w:tcPr>
            <w:tcW w:w="73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0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只</w:t>
            </w:r>
          </w:p>
        </w:tc>
        <w:tc>
          <w:tcPr>
            <w:tcW w:w="8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微耕</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机架式KVM</w:t>
            </w:r>
          </w:p>
        </w:tc>
        <w:tc>
          <w:tcPr>
            <w:tcW w:w="1704"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MT-2108DL</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迈拓</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HDMI接口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可视对讲系统</w:t>
            </w:r>
          </w:p>
        </w:tc>
        <w:tc>
          <w:tcPr>
            <w:tcW w:w="17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JS-297C2</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金积嘉</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w:t>
            </w:r>
          </w:p>
        </w:tc>
        <w:tc>
          <w:tcPr>
            <w:tcW w:w="158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24口配线架</w:t>
            </w:r>
          </w:p>
        </w:tc>
        <w:tc>
          <w:tcPr>
            <w:tcW w:w="17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NTC-SN15FRT24</w:t>
            </w:r>
          </w:p>
        </w:tc>
        <w:tc>
          <w:tcPr>
            <w:tcW w:w="730"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凯图</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w:t>
            </w:r>
          </w:p>
        </w:tc>
        <w:tc>
          <w:tcPr>
            <w:tcW w:w="15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理线器</w:t>
            </w:r>
          </w:p>
        </w:tc>
        <w:tc>
          <w:tcPr>
            <w:tcW w:w="170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NTC-SNICPR1U</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凯图</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w:t>
            </w:r>
          </w:p>
        </w:tc>
        <w:tc>
          <w:tcPr>
            <w:tcW w:w="15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分时电源控制器</w:t>
            </w:r>
          </w:p>
        </w:tc>
        <w:tc>
          <w:tcPr>
            <w:tcW w:w="170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DH-PFM650-4CH</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大华</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15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三技术探测器</w:t>
            </w:r>
          </w:p>
        </w:tc>
        <w:tc>
          <w:tcPr>
            <w:tcW w:w="170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ISC-BDL2-WP12G-CHI</w:t>
            </w:r>
          </w:p>
        </w:tc>
        <w:tc>
          <w:tcPr>
            <w:tcW w:w="7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0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88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博世</w:t>
            </w:r>
          </w:p>
        </w:tc>
        <w:tc>
          <w:tcPr>
            <w:tcW w:w="70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A</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监控系统主材合计</w:t>
            </w:r>
          </w:p>
        </w:tc>
        <w:tc>
          <w:tcPr>
            <w:tcW w:w="4626" w:type="dxa"/>
            <w:gridSpan w:val="5"/>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A=1+2+……+32</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B</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税金</w:t>
            </w:r>
          </w:p>
        </w:tc>
        <w:tc>
          <w:tcPr>
            <w:tcW w:w="4626" w:type="dxa"/>
            <w:gridSpan w:val="5"/>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B=A*9%</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监控系统主材含税合计</w:t>
            </w:r>
          </w:p>
        </w:tc>
        <w:tc>
          <w:tcPr>
            <w:tcW w:w="4626" w:type="dxa"/>
            <w:gridSpan w:val="5"/>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C=A+B</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辅材与安装调试费汇总表</w:t>
            </w:r>
          </w:p>
        </w:tc>
        <w:tc>
          <w:tcPr>
            <w:tcW w:w="4626" w:type="dxa"/>
            <w:gridSpan w:val="5"/>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E</w:t>
            </w:r>
          </w:p>
        </w:tc>
        <w:tc>
          <w:tcPr>
            <w:tcW w:w="1583" w:type="dxa"/>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临时柜台建设</w:t>
            </w:r>
          </w:p>
        </w:tc>
        <w:tc>
          <w:tcPr>
            <w:tcW w:w="4626" w:type="dxa"/>
            <w:gridSpan w:val="5"/>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F</w:t>
            </w:r>
          </w:p>
        </w:tc>
        <w:tc>
          <w:tcPr>
            <w:tcW w:w="158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工程合计</w:t>
            </w:r>
          </w:p>
        </w:tc>
        <w:tc>
          <w:tcPr>
            <w:tcW w:w="4626" w:type="dxa"/>
            <w:gridSpan w:val="5"/>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F=C+D+E</w:t>
            </w:r>
          </w:p>
        </w:tc>
        <w:tc>
          <w:tcPr>
            <w:tcW w:w="73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bl>
    <w:p>
      <w:pPr>
        <w:widowControl/>
        <w:snapToGrid w:val="0"/>
        <w:spacing w:line="360" w:lineRule="auto"/>
        <w:rPr>
          <w:rFonts w:hint="eastAsia" w:ascii="宋体" w:hAnsi="宋体" w:cs="Arial"/>
          <w:color w:val="auto"/>
          <w:kern w:val="0"/>
          <w:szCs w:val="21"/>
          <w:highlight w:val="none"/>
        </w:rPr>
      </w:pP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2302"/>
        <w:gridCol w:w="656"/>
        <w:gridCol w:w="648"/>
        <w:gridCol w:w="663"/>
        <w:gridCol w:w="765"/>
        <w:gridCol w:w="764"/>
        <w:gridCol w:w="547"/>
        <w:gridCol w:w="1092"/>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2" w:type="dxa"/>
            <w:gridSpan w:val="10"/>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第二部分、安装调试费及辅材工程量清单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2302"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    称</w:t>
            </w:r>
          </w:p>
        </w:tc>
        <w:tc>
          <w:tcPr>
            <w:tcW w:w="656"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计量单位</w:t>
            </w:r>
          </w:p>
        </w:tc>
        <w:tc>
          <w:tcPr>
            <w:tcW w:w="648"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工程</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数量</w:t>
            </w:r>
          </w:p>
        </w:tc>
        <w:tc>
          <w:tcPr>
            <w:tcW w:w="2739"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综合单价组成分析</w:t>
            </w:r>
          </w:p>
        </w:tc>
        <w:tc>
          <w:tcPr>
            <w:tcW w:w="1748" w:type="dxa"/>
            <w:gridSpan w:val="2"/>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02"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4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人工费</w:t>
            </w:r>
          </w:p>
        </w:tc>
        <w:tc>
          <w:tcPr>
            <w:tcW w:w="76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材料费</w:t>
            </w:r>
          </w:p>
        </w:tc>
        <w:tc>
          <w:tcPr>
            <w:tcW w:w="76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机械费</w:t>
            </w:r>
          </w:p>
        </w:tc>
        <w:tc>
          <w:tcPr>
            <w:tcW w:w="54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利润</w:t>
            </w: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综合单价</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成套配电箱安装 悬挂嵌入式(半周长0.5m)</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成套配电箱安装 悬挂嵌入式(半周长1.0m)</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砖、混凝土结构明配 公称直径(20mm以内) 紧定式镀锌电线管敷设</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0.85</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砖、混凝土结构明配 公称直径(25mm以内) 紧定式镀锌电线管敷设</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0.81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吊顶内配管 公称直径(20mm以内) 紧定式镀锌电线管敷设</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5.75</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吊顶内配管 公称直径(25mm以内) 紧定式镀锌电线管敷设</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3.57</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敷设 公称管径(20mm以内)  每根管长(500mm以内) 金属软管</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钢制槽式桥架(宽+高150mm以下)</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钢制槽式桥架(宽+高400mm以下)</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桥架支撑架</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0.78</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管内穿两芯电源线RVV2*1.0</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24.91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管内穿两芯屏蔽线RVVP2*0.75</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3.76</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管内穿四芯线RVV4*0.75</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100m/束</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19.42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一般铁构件 制作</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一般铁构件 安装</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100kg</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工作组级交换机安装调试</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管/暗槽内穿放(4对以内) 双绞线缆</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100m</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23.71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水晶头制作</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条</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安装落地式机柜、机架</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 字幕叠加器</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86盒安装</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10个</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安装开关电源(≤50A)</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IP对讲分机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IP对讲主机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25</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 户内机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可视对讲 户外机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红外微波双鉴探测器</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报警声音复核装置(声音探头)</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有线报警信号前端传输设备(不含线缆) 网络传输接口</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读卡器</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门禁控制器 四门</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门禁出门按钮</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门禁电磁吸力锁</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彩色CCD带定焦镜头</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带红外光源CCD</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39</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36</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日夜微光摄像机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安消摄像机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38</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智能双目摄像机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39</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照明灯(含红外灯)</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40</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微型针孔摄像机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防护罩 （定制针孔暗藏护罩）</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支架 悬挂式摄像机支架</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音频、视频及脉冲分配器(≤6路)</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44</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8路智能分析主机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45</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录像设备 数字录像机 32路输入</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46</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录像设备 数字录像机 16路输入（甲供，含硬盘）</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47</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监视器 ≤37cm</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48</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入侵报警系统 每1个点</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49</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电视监控系统 摄像机</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67</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电视监控系统</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51</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音频头制作</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个</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46</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52</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配线架安装打接 24口</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块</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53</w:t>
            </w: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银行窗口对讲机（甲供）</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总计</w:t>
            </w: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4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6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76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09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56"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bl>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附甲供材料清单</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2111"/>
        <w:gridCol w:w="1804"/>
        <w:gridCol w:w="559"/>
        <w:gridCol w:w="449"/>
        <w:gridCol w:w="669"/>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2111"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名称</w:t>
            </w:r>
          </w:p>
        </w:tc>
        <w:tc>
          <w:tcPr>
            <w:tcW w:w="1804"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型号</w:t>
            </w:r>
          </w:p>
        </w:tc>
        <w:tc>
          <w:tcPr>
            <w:tcW w:w="55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数量</w:t>
            </w:r>
          </w:p>
        </w:tc>
        <w:tc>
          <w:tcPr>
            <w:tcW w:w="44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单位</w:t>
            </w:r>
          </w:p>
        </w:tc>
        <w:tc>
          <w:tcPr>
            <w:tcW w:w="669"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品牌</w:t>
            </w:r>
          </w:p>
        </w:tc>
        <w:tc>
          <w:tcPr>
            <w:tcW w:w="2371" w:type="dxa"/>
            <w:vMerge w:val="restar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111"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804"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5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44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669"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71"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2111"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8盘位16路NVR</w:t>
            </w:r>
          </w:p>
        </w:tc>
        <w:tc>
          <w:tcPr>
            <w:tcW w:w="1804"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DS-FN16CG</w:t>
            </w:r>
          </w:p>
        </w:tc>
        <w:tc>
          <w:tcPr>
            <w:tcW w:w="55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449"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c>
          <w:tcPr>
            <w:tcW w:w="66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海康威视</w:t>
            </w:r>
          </w:p>
        </w:tc>
        <w:tc>
          <w:tcPr>
            <w:tcW w:w="237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含8块6T硬盘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2111"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银行窗口对讲</w:t>
            </w:r>
          </w:p>
        </w:tc>
        <w:tc>
          <w:tcPr>
            <w:tcW w:w="180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55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44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c>
          <w:tcPr>
            <w:tcW w:w="66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2371"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p>
        </w:tc>
      </w:tr>
    </w:tbl>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第一部分的主材报价中设备单价应包括设备采购费、运输费、等费用，不包含税金；</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第二部分安装调试费与辅材依据表中提供的工程量清单，按照《江苏省建设工程费用定额（2014版）》进行编制；规费部分不得做让利。</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本项目的最终报价为第一部分“监控系统主材合计”与依据第二部分安装调试费与辅材工程量清单编制的“安装调试费与辅材费用”之和；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项目结算需提供税率为9%的增值税专用发票。</w:t>
      </w:r>
    </w:p>
    <w:bookmarkEnd w:id="43"/>
    <w:p>
      <w:pPr>
        <w:spacing w:line="360" w:lineRule="exact"/>
        <w:rPr>
          <w:rFonts w:hint="eastAsia" w:ascii="宋体" w:hAnsi="宋体" w:cs="宋体"/>
          <w:color w:val="auto"/>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AB3D23"/>
    <w:rsid w:val="0203181E"/>
    <w:rsid w:val="03FE4155"/>
    <w:rsid w:val="0917644A"/>
    <w:rsid w:val="0AC456FE"/>
    <w:rsid w:val="0CEB4F85"/>
    <w:rsid w:val="12575383"/>
    <w:rsid w:val="12B34814"/>
    <w:rsid w:val="12D00772"/>
    <w:rsid w:val="130B2ECB"/>
    <w:rsid w:val="13D049AB"/>
    <w:rsid w:val="13DD0205"/>
    <w:rsid w:val="157C54AE"/>
    <w:rsid w:val="15E81750"/>
    <w:rsid w:val="17CB7AB1"/>
    <w:rsid w:val="199F3089"/>
    <w:rsid w:val="19D34041"/>
    <w:rsid w:val="19DF25B4"/>
    <w:rsid w:val="1D1E7639"/>
    <w:rsid w:val="1D591679"/>
    <w:rsid w:val="1E7B20C8"/>
    <w:rsid w:val="20510D4E"/>
    <w:rsid w:val="23030876"/>
    <w:rsid w:val="237972F9"/>
    <w:rsid w:val="24C02A8C"/>
    <w:rsid w:val="26B30519"/>
    <w:rsid w:val="27816FC0"/>
    <w:rsid w:val="2BAA3A15"/>
    <w:rsid w:val="2D483BE9"/>
    <w:rsid w:val="2D990C72"/>
    <w:rsid w:val="2EE619C7"/>
    <w:rsid w:val="2F882818"/>
    <w:rsid w:val="35120A01"/>
    <w:rsid w:val="36C66297"/>
    <w:rsid w:val="375436D0"/>
    <w:rsid w:val="37AD4689"/>
    <w:rsid w:val="38B925DC"/>
    <w:rsid w:val="3A987192"/>
    <w:rsid w:val="3D5D2732"/>
    <w:rsid w:val="3D60217E"/>
    <w:rsid w:val="3EF20AC8"/>
    <w:rsid w:val="40A150A2"/>
    <w:rsid w:val="413F7265"/>
    <w:rsid w:val="41577781"/>
    <w:rsid w:val="41894BD4"/>
    <w:rsid w:val="43012F5A"/>
    <w:rsid w:val="43887E77"/>
    <w:rsid w:val="44C10D82"/>
    <w:rsid w:val="44F557CA"/>
    <w:rsid w:val="47587EC6"/>
    <w:rsid w:val="48AC4CEE"/>
    <w:rsid w:val="4CFE61A4"/>
    <w:rsid w:val="4D043CAC"/>
    <w:rsid w:val="4F020CAE"/>
    <w:rsid w:val="52A22EE0"/>
    <w:rsid w:val="52B7338E"/>
    <w:rsid w:val="55930C5B"/>
    <w:rsid w:val="562C33EA"/>
    <w:rsid w:val="5C1D4FB4"/>
    <w:rsid w:val="5C290EA4"/>
    <w:rsid w:val="5CD0123D"/>
    <w:rsid w:val="5D155B78"/>
    <w:rsid w:val="5DB349C5"/>
    <w:rsid w:val="5ECB2C1D"/>
    <w:rsid w:val="5F4F2FEA"/>
    <w:rsid w:val="5FC80EE5"/>
    <w:rsid w:val="65871EF3"/>
    <w:rsid w:val="690C6515"/>
    <w:rsid w:val="693C3DC4"/>
    <w:rsid w:val="697D52E7"/>
    <w:rsid w:val="6A4B7D29"/>
    <w:rsid w:val="6BD37D5E"/>
    <w:rsid w:val="6D837349"/>
    <w:rsid w:val="6E6A4AAC"/>
    <w:rsid w:val="736C4651"/>
    <w:rsid w:val="76AF5792"/>
    <w:rsid w:val="79157A6A"/>
    <w:rsid w:val="7A084F9B"/>
    <w:rsid w:val="7A486FD3"/>
    <w:rsid w:val="7B5F5634"/>
    <w:rsid w:val="7B8F4C4D"/>
    <w:rsid w:val="7E7409A5"/>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22036</Words>
  <Characters>25470</Characters>
  <Lines>0</Lines>
  <Paragraphs>0</Paragraphs>
  <TotalTime>108</TotalTime>
  <ScaleCrop>false</ScaleCrop>
  <LinksUpToDate>false</LinksUpToDate>
  <CharactersWithSpaces>26907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2022-04-08T05:59:18Z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EBA83D4D08EB49E98BBE3D28CB590960</vt:lpwstr>
  </property>
</Properties>
</file>