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bookmarkStart w:id="43" w:name="_GoBack"/>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SYZB-SJ-2022024</w:t>
      </w:r>
    </w:p>
    <w:p>
      <w:pPr>
        <w:adjustRightInd w:val="0"/>
        <w:snapToGrid w:val="0"/>
        <w:spacing w:line="800" w:lineRule="exact"/>
        <w:ind w:left="3356" w:leftChars="798" w:hanging="1680" w:hangingChars="6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丁堰智能智造产业园基础配套设施提升改造工程项目建议书与可行性研究报告编制服务项目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常州市武进区丁堰街道办事处</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17-18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19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20-27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28359011"/>
      <w:bookmarkStart w:id="1" w:name="_Toc35393797"/>
      <w:bookmarkStart w:id="2" w:name="_Toc35393789"/>
      <w:bookmarkStart w:id="3" w:name="_Toc28359001"/>
      <w:r>
        <w:rPr>
          <w:rFonts w:hint="eastAsia" w:ascii="宋体" w:hAnsi="宋体"/>
          <w:b/>
          <w:color w:val="auto"/>
          <w:sz w:val="28"/>
          <w:szCs w:val="28"/>
          <w:highlight w:val="none"/>
          <w:lang w:eastAsia="zh-CN"/>
        </w:rPr>
        <w:t>丁堰智能智造产业园基础配套设施提升改造工程项目建议书与可行性研究报告编制服务项目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12"/>
      <w:bookmarkStart w:id="5" w:name="_Toc35393629"/>
      <w:bookmarkStart w:id="6" w:name="_Toc35393798"/>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丁堰智能智造产业园基础配套设施提升改造工程项目建议书与可行性研究报告编制服务项目</w:t>
      </w:r>
      <w:r>
        <w:rPr>
          <w:rFonts w:hint="eastAsia" w:cs="宋体" w:asciiTheme="minorEastAsia" w:hAnsiTheme="minorEastAsia" w:eastAsiaTheme="minorEastAsia"/>
          <w:color w:val="auto"/>
          <w:szCs w:val="21"/>
          <w:highlight w:val="none"/>
          <w:lang w:eastAsia="zh-CN"/>
        </w:rPr>
        <w:t>采购项目的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2022年10</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SYZB-SJ-2022024</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丁堰智能智造产业园基础配套设施提升改造工程项目建议书与可行性研究报告编制服务项目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17万元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17万元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丁堰智能智造产业园基础配套设施提升改造工程项目建议书与可行性研究报告编制服务项目</w:t>
      </w:r>
      <w:r>
        <w:rPr>
          <w:rFonts w:hint="eastAsia" w:asciiTheme="minorEastAsia" w:hAnsiTheme="minorEastAsia" w:eastAsiaTheme="minorEastAsia" w:cstheme="minorEastAsia"/>
          <w:color w:val="auto"/>
          <w:spacing w:val="2"/>
          <w:szCs w:val="21"/>
          <w:highlight w:val="none"/>
          <w:u w:val="none"/>
        </w:rPr>
        <w:t>，服务内容包括</w:t>
      </w:r>
      <w:r>
        <w:rPr>
          <w:rFonts w:hint="eastAsia" w:asciiTheme="minorEastAsia" w:hAnsiTheme="minorEastAsia" w:eastAsiaTheme="minorEastAsia" w:cstheme="minorEastAsia"/>
          <w:color w:val="auto"/>
          <w:spacing w:val="2"/>
          <w:szCs w:val="21"/>
          <w:highlight w:val="none"/>
          <w:u w:val="none"/>
          <w:lang w:val="en-US" w:eastAsia="zh-CN"/>
        </w:rPr>
        <w:t>但不仅限于</w:t>
      </w:r>
      <w:r>
        <w:rPr>
          <w:rFonts w:hint="eastAsia" w:asciiTheme="minorEastAsia" w:hAnsiTheme="minorEastAsia" w:eastAsiaTheme="minorEastAsia" w:cstheme="minorEastAsia"/>
          <w:color w:val="auto"/>
          <w:spacing w:val="2"/>
          <w:szCs w:val="21"/>
          <w:highlight w:val="none"/>
          <w:u w:val="none"/>
        </w:rPr>
        <w:t>编制</w:t>
      </w:r>
      <w:r>
        <w:rPr>
          <w:rFonts w:hint="eastAsia" w:asciiTheme="minorEastAsia" w:hAnsiTheme="minorEastAsia" w:eastAsiaTheme="minorEastAsia" w:cstheme="minorEastAsia"/>
          <w:color w:val="auto"/>
          <w:spacing w:val="2"/>
          <w:szCs w:val="21"/>
          <w:highlight w:val="none"/>
          <w:u w:val="none"/>
          <w:lang w:eastAsia="zh-CN"/>
        </w:rPr>
        <w:t>丁堰智能智造产业园基础配套设施提升改造工程的</w:t>
      </w:r>
      <w:r>
        <w:rPr>
          <w:rFonts w:hint="eastAsia" w:asciiTheme="minorEastAsia" w:hAnsiTheme="minorEastAsia" w:eastAsiaTheme="minorEastAsia" w:cstheme="minorEastAsia"/>
          <w:color w:val="auto"/>
          <w:spacing w:val="2"/>
          <w:szCs w:val="21"/>
          <w:highlight w:val="none"/>
          <w:u w:val="none"/>
        </w:rPr>
        <w:t>项目建议书、可行性研究报告及报债辅助服务事宜等。</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成交供应商</w:t>
      </w:r>
      <w:r>
        <w:rPr>
          <w:rFonts w:hint="eastAsia" w:cs="宋体" w:asciiTheme="minorEastAsia" w:hAnsiTheme="minorEastAsia" w:eastAsiaTheme="minorEastAsia"/>
          <w:color w:val="auto"/>
          <w:szCs w:val="21"/>
          <w:highlight w:val="none"/>
        </w:rPr>
        <w:t>收到</w:t>
      </w:r>
      <w:r>
        <w:rPr>
          <w:rFonts w:hint="eastAsia" w:cs="宋体" w:asciiTheme="minorEastAsia" w:hAnsiTheme="minorEastAsia" w:eastAsiaTheme="minorEastAsia"/>
          <w:color w:val="auto"/>
          <w:szCs w:val="21"/>
          <w:highlight w:val="none"/>
          <w:lang w:val="en-US" w:eastAsia="zh-CN"/>
        </w:rPr>
        <w:t>采购人</w:t>
      </w:r>
      <w:r>
        <w:rPr>
          <w:rFonts w:hint="eastAsia" w:cs="宋体" w:asciiTheme="minorEastAsia" w:hAnsiTheme="minorEastAsia" w:eastAsiaTheme="minorEastAsia"/>
          <w:color w:val="auto"/>
          <w:szCs w:val="21"/>
          <w:highlight w:val="none"/>
        </w:rPr>
        <w:t>提供的技术、基础资料后，20工作日内完成项目建议书及可行性研究报告的编制。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90"/>
      <w:bookmarkStart w:id="9" w:name="_Toc35393799"/>
      <w:bookmarkStart w:id="10" w:name="_Toc35393630"/>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800"/>
      <w:bookmarkStart w:id="15" w:name="_Toc35393631"/>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w:t>
      </w:r>
      <w:r>
        <w:rPr>
          <w:rFonts w:hint="eastAsia" w:cs="宋体" w:asciiTheme="minorEastAsia" w:hAnsiTheme="minorEastAsia" w:eastAsiaTheme="minorEastAsia"/>
          <w:color w:val="auto"/>
          <w:szCs w:val="21"/>
          <w:highlight w:val="none"/>
          <w:lang w:val="en-US" w:eastAsia="zh-CN"/>
        </w:rPr>
        <w:t>直接</w:t>
      </w:r>
      <w:r>
        <w:rPr>
          <w:rFonts w:hint="eastAsia" w:cs="宋体" w:asciiTheme="minorEastAsia" w:hAnsiTheme="minorEastAsia" w:eastAsiaTheme="minorEastAsia"/>
          <w:color w:val="auto"/>
          <w:szCs w:val="21"/>
          <w:highlight w:val="none"/>
          <w:lang w:eastAsia="zh-CN"/>
        </w:rPr>
        <w:t>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2022年10</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9</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801"/>
      <w:bookmarkStart w:id="17" w:name="_Toc28359015"/>
      <w:bookmarkStart w:id="18" w:name="_Toc35393632"/>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2022年10</w:t>
      </w:r>
      <w:r>
        <w:rPr>
          <w:rFonts w:hint="eastAsia" w:cs="宋体" w:asciiTheme="minorEastAsia" w:hAnsiTheme="minorEastAsia" w:eastAsiaTheme="minorEastAsia"/>
          <w:b w:val="0"/>
          <w:bCs w:val="0"/>
          <w:color w:val="auto"/>
          <w:szCs w:val="21"/>
          <w:highlight w:val="none"/>
        </w:rPr>
        <w:t>月</w:t>
      </w:r>
      <w:r>
        <w:rPr>
          <w:rFonts w:hint="eastAsia" w:cs="宋体" w:asciiTheme="minorEastAsia" w:hAnsiTheme="minorEastAsia" w:eastAsiaTheme="minorEastAsia"/>
          <w:b w:val="0"/>
          <w:bCs w:val="0"/>
          <w:color w:val="auto"/>
          <w:szCs w:val="21"/>
          <w:highlight w:val="none"/>
          <w:lang w:val="en-US" w:eastAsia="zh-CN"/>
        </w:rPr>
        <w:t>13</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94"/>
      <w:bookmarkStart w:id="21" w:name="_Toc35393634"/>
      <w:bookmarkStart w:id="22" w:name="_Toc28359017"/>
      <w:bookmarkStart w:id="23" w:name="_Toc35393803"/>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26" w:name="_Toc35393805"/>
      <w:bookmarkStart w:id="27" w:name="_Toc28359095"/>
      <w:bookmarkStart w:id="28" w:name="_Toc35393636"/>
      <w:bookmarkStart w:id="29" w:name="_Toc28359018"/>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35393637"/>
      <w:bookmarkStart w:id="32" w:name="_Toc28359096"/>
      <w:bookmarkStart w:id="33" w:name="_Toc3539380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常州市武进区丁堰街道办事处</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地址：常州市武进区延陵东路508号</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周先生、0519-86025022</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35393638"/>
      <w:bookmarkStart w:id="35" w:name="_Toc28359097"/>
      <w:bookmarkStart w:id="36" w:name="_Toc28359020"/>
      <w:bookmarkStart w:id="37" w:name="_Toc35393807"/>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35393639"/>
      <w:bookmarkStart w:id="39" w:name="_Toc28359021"/>
      <w:bookmarkStart w:id="40" w:name="_Toc28359098"/>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eastAsia="zh-CN"/>
        </w:rPr>
        <w:t>0519-88818225（805）</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1"/>
        <w:tblW w:w="833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lang w:eastAsia="zh-CN"/>
              </w:rPr>
              <w:t>谈判</w:t>
            </w:r>
            <w:r>
              <w:rPr>
                <w:rFonts w:hint="eastAsia" w:ascii="宋体" w:hAnsi="宋体"/>
                <w:color w:val="auto"/>
                <w:szCs w:val="21"/>
                <w:highlight w:val="none"/>
              </w:rPr>
              <w:t>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lang w:eastAsia="zh-CN"/>
        </w:rPr>
        <w:t>9.谈判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9.</w:t>
      </w:r>
      <w:r>
        <w:rPr>
          <w:rFonts w:hint="eastAsia" w:ascii="宋体" w:hAnsi="宋体" w:cs="宋体"/>
          <w:color w:val="auto"/>
          <w:szCs w:val="21"/>
          <w:highlight w:val="none"/>
        </w:rPr>
        <w:t>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9.</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9.</w:t>
      </w:r>
      <w:r>
        <w:rPr>
          <w:rFonts w:hint="eastAsia" w:ascii="宋体" w:hAnsi="宋体" w:cs="宋体"/>
          <w:color w:val="auto"/>
          <w:szCs w:val="21"/>
          <w:highlight w:val="none"/>
        </w:rPr>
        <w:t>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lang w:eastAsia="zh-CN"/>
        </w:rPr>
        <w:t>10.谈判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lang w:eastAsia="zh-CN"/>
        </w:rPr>
        <w:t>15.谈判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15.2.7对于谈判响应文件中不构成实质性偏差的不正规、不一致或不规则，评标委员会可以接受，但这种接受不能损坏或影响任何供应商的相对顺序。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15.</w:t>
      </w:r>
      <w:r>
        <w:rPr>
          <w:rFonts w:hint="eastAsia" w:ascii="宋体" w:hAnsi="宋体" w:cs="宋体"/>
          <w:color w:val="auto"/>
          <w:szCs w:val="21"/>
          <w:highlight w:val="none"/>
        </w:rPr>
        <w:t>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15.</w:t>
      </w:r>
      <w:r>
        <w:rPr>
          <w:rFonts w:hint="eastAsia" w:cs="宋体" w:asciiTheme="minorEastAsia" w:hAnsiTheme="minorEastAsia" w:eastAsiaTheme="minorEastAsia"/>
          <w:color w:val="auto"/>
          <w:szCs w:val="21"/>
          <w:highlight w:val="none"/>
        </w:rPr>
        <w:t>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15.</w:t>
      </w:r>
      <w:r>
        <w:rPr>
          <w:rFonts w:hint="eastAsia" w:cs="宋体" w:asciiTheme="minorEastAsia" w:hAnsiTheme="minorEastAsia" w:eastAsiaTheme="minorEastAsia"/>
          <w:color w:val="auto"/>
          <w:szCs w:val="21"/>
          <w:highlight w:val="none"/>
        </w:rPr>
        <w:t>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eastAsia="zh-CN"/>
        </w:rPr>
        <w:t>16.</w:t>
      </w:r>
      <w:r>
        <w:rPr>
          <w:rFonts w:hint="eastAsia" w:cs="宋体" w:asciiTheme="minorEastAsia" w:hAnsiTheme="minorEastAsia" w:eastAsiaTheme="minorEastAsia"/>
          <w:b/>
          <w:color w:val="auto"/>
          <w:szCs w:val="21"/>
          <w:highlight w:val="none"/>
        </w:rPr>
        <w:t>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16.</w:t>
      </w:r>
      <w:r>
        <w:rPr>
          <w:rFonts w:hint="eastAsia" w:cs="宋体" w:asciiTheme="minorEastAsia" w:hAnsiTheme="minorEastAsia" w:eastAsiaTheme="minorEastAsia"/>
          <w:color w:val="auto"/>
          <w:sz w:val="21"/>
          <w:szCs w:val="21"/>
          <w:highlight w:val="none"/>
        </w:rPr>
        <w:t>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16.</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16.</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16.</w:t>
      </w:r>
      <w:r>
        <w:rPr>
          <w:rFonts w:hint="eastAsia" w:cs="宋体" w:asciiTheme="minorEastAsia" w:hAnsiTheme="minorEastAsia" w:eastAsiaTheme="minorEastAsia"/>
          <w:color w:val="auto"/>
          <w:szCs w:val="21"/>
          <w:highlight w:val="none"/>
        </w:rPr>
        <w:t>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eastAsia="zh-CN"/>
        </w:rPr>
        <w:t>17.</w:t>
      </w:r>
      <w:r>
        <w:rPr>
          <w:rFonts w:hint="eastAsia" w:cs="宋体" w:asciiTheme="minorEastAsia" w:hAnsiTheme="minorEastAsia" w:eastAsiaTheme="minorEastAsia"/>
          <w:b/>
          <w:color w:val="auto"/>
          <w:szCs w:val="21"/>
          <w:highlight w:val="none"/>
        </w:rPr>
        <w:t>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17.</w:t>
      </w:r>
      <w:r>
        <w:rPr>
          <w:rFonts w:hint="eastAsia" w:cs="宋体" w:asciiTheme="minorEastAsia" w:hAnsiTheme="minorEastAsia" w:eastAsiaTheme="minorEastAsia"/>
          <w:color w:val="auto"/>
          <w:sz w:val="21"/>
          <w:szCs w:val="21"/>
          <w:highlight w:val="none"/>
        </w:rPr>
        <w:t>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17.</w:t>
      </w:r>
      <w:r>
        <w:rPr>
          <w:rFonts w:hint="eastAsia" w:cs="宋体" w:asciiTheme="minorEastAsia" w:hAnsiTheme="minorEastAsia" w:eastAsiaTheme="minorEastAsia"/>
          <w:color w:val="auto"/>
          <w:sz w:val="21"/>
          <w:szCs w:val="21"/>
          <w:highlight w:val="none"/>
        </w:rPr>
        <w:t>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lang w:eastAsia="zh-CN"/>
        </w:rPr>
        <w:t>17.</w:t>
      </w:r>
      <w:r>
        <w:rPr>
          <w:rFonts w:hint="eastAsia" w:hAnsi="宋体" w:cs="宋体"/>
          <w:b/>
          <w:color w:val="auto"/>
          <w:sz w:val="21"/>
          <w:szCs w:val="21"/>
          <w:highlight w:val="none"/>
        </w:rPr>
        <w:t>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lang w:eastAsia="zh-CN"/>
        </w:rPr>
        <w:t>17.</w:t>
      </w:r>
      <w:r>
        <w:rPr>
          <w:rFonts w:ascii="宋体" w:hAnsi="宋体" w:cs="宋体"/>
          <w:b/>
          <w:color w:val="auto"/>
          <w:szCs w:val="21"/>
          <w:highlight w:val="none"/>
        </w:rPr>
        <w:t>3.</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lang w:eastAsia="zh-CN"/>
        </w:rPr>
        <w:t>17.</w:t>
      </w:r>
      <w:r>
        <w:rPr>
          <w:rFonts w:ascii="宋体" w:hAnsi="宋体" w:cs="宋体"/>
          <w:b/>
          <w:color w:val="auto"/>
          <w:szCs w:val="21"/>
          <w:highlight w:val="none"/>
        </w:rPr>
        <w:t>3</w:t>
      </w: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ascii="宋体" w:hAnsi="宋体" w:cs="宋体"/>
          <w:color w:val="auto"/>
          <w:szCs w:val="21"/>
          <w:highlight w:val="none"/>
        </w:rPr>
        <w:t>3.1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lang w:eastAsia="zh-CN"/>
        </w:rPr>
        <w:t>17.</w:t>
      </w:r>
      <w:r>
        <w:rPr>
          <w:rFonts w:hint="eastAsia" w:ascii="宋体" w:hAnsi="宋体" w:cs="宋体"/>
          <w:b/>
          <w:color w:val="auto"/>
          <w:szCs w:val="21"/>
          <w:highlight w:val="none"/>
        </w:rPr>
        <w:t>4有下列情形之一的，视为供应商相互串通，无效响应：</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lang w:eastAsia="zh-CN"/>
        </w:rPr>
        <w:t>17.</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rPr>
          <w:rFonts w:ascii="宋体" w:hAnsi="宋体" w:cs="宋体"/>
          <w:b/>
          <w:color w:val="auto"/>
          <w:kern w:val="0"/>
          <w:szCs w:val="21"/>
          <w:highlight w:val="none"/>
        </w:rPr>
      </w:pPr>
      <w:r>
        <w:rPr>
          <w:rFonts w:hint="eastAsia" w:cs="宋体" w:asciiTheme="minorEastAsia" w:hAnsiTheme="minorEastAsia" w:eastAsiaTheme="minorEastAsia"/>
          <w:b/>
          <w:color w:val="auto"/>
          <w:szCs w:val="21"/>
          <w:highlight w:val="none"/>
          <w:lang w:eastAsia="zh-CN"/>
        </w:rPr>
        <w:t>18.</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hint="eastAsia" w:ascii="宋体" w:hAnsi="宋体" w:cs="宋体"/>
          <w:color w:val="auto"/>
          <w:szCs w:val="21"/>
          <w:highlight w:val="none"/>
        </w:rPr>
        <w:t>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hint="eastAsia" w:ascii="宋体" w:hAnsi="宋体" w:cs="宋体"/>
          <w:color w:val="auto"/>
          <w:szCs w:val="21"/>
          <w:highlight w:val="none"/>
        </w:rPr>
        <w:t>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ascii="宋体" w:hAnsi="宋体" w:cs="宋体"/>
          <w:color w:val="auto"/>
          <w:szCs w:val="21"/>
          <w:highlight w:val="none"/>
        </w:rPr>
        <w:t>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ascii="宋体" w:hAnsi="宋体" w:cs="宋体"/>
          <w:color w:val="auto"/>
          <w:szCs w:val="21"/>
          <w:highlight w:val="none"/>
        </w:rPr>
        <w:t>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ascii="宋体" w:hAnsi="宋体" w:cs="宋体"/>
          <w:color w:val="auto"/>
          <w:szCs w:val="21"/>
          <w:highlight w:val="none"/>
        </w:rPr>
        <w:t>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hint="eastAsia" w:ascii="宋体" w:hAnsi="宋体" w:cs="宋体"/>
          <w:color w:val="auto"/>
          <w:szCs w:val="21"/>
          <w:highlight w:val="none"/>
        </w:rPr>
        <w:t>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hint="eastAsia" w:ascii="宋体" w:hAnsi="宋体" w:cs="宋体"/>
          <w:color w:val="auto"/>
          <w:szCs w:val="21"/>
          <w:highlight w:val="none"/>
        </w:rPr>
        <w:t>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hint="eastAsia" w:ascii="宋体" w:hAnsi="宋体" w:cs="宋体"/>
          <w:color w:val="auto"/>
          <w:szCs w:val="21"/>
          <w:highlight w:val="none"/>
        </w:rPr>
        <w:t>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18.</w:t>
      </w:r>
      <w:r>
        <w:rPr>
          <w:rFonts w:ascii="宋体" w:hAnsi="宋体" w:cs="宋体"/>
          <w:color w:val="auto"/>
          <w:szCs w:val="21"/>
          <w:highlight w:val="none"/>
        </w:rPr>
        <w:t>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lang w:eastAsia="zh-CN"/>
        </w:rPr>
        <w:t>19.</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19.</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lang w:eastAsia="zh-CN"/>
        </w:rPr>
        <w:t>20.</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20.</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20.</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lang w:eastAsia="zh-CN"/>
        </w:rPr>
        <w:t>21.</w:t>
      </w:r>
      <w:r>
        <w:rPr>
          <w:rStyle w:val="13"/>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lang w:eastAsia="zh-CN"/>
        </w:rPr>
        <w:t>21.</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21.</w:t>
      </w:r>
      <w:r>
        <w:rPr>
          <w:rFonts w:ascii="宋体" w:hAnsi="宋体"/>
          <w:color w:val="auto"/>
          <w:szCs w:val="21"/>
          <w:highlight w:val="none"/>
        </w:rPr>
        <w:t>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int="eastAsia" w:hAnsi="宋体"/>
          <w:color w:val="auto"/>
          <w:sz w:val="21"/>
          <w:szCs w:val="21"/>
          <w:highlight w:val="none"/>
          <w:lang w:eastAsia="zh-CN"/>
        </w:rPr>
        <w:t>21.</w:t>
      </w:r>
      <w:r>
        <w:rPr>
          <w:rFonts w:hAnsi="宋体"/>
          <w:color w:val="auto"/>
          <w:sz w:val="21"/>
          <w:szCs w:val="21"/>
          <w:highlight w:val="none"/>
        </w:rPr>
        <w:t>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lang w:eastAsia="zh-CN"/>
        </w:rPr>
        <w:t>21.</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lang w:eastAsia="zh-CN"/>
        </w:rPr>
        <w:t>22.</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lang w:eastAsia="zh-CN"/>
        </w:rPr>
        <w:t>22.</w:t>
      </w:r>
      <w:r>
        <w:rPr>
          <w:rFonts w:hAnsi="宋体" w:cs="宋体"/>
          <w:color w:val="auto"/>
          <w:sz w:val="21"/>
          <w:szCs w:val="21"/>
          <w:highlight w:val="none"/>
        </w:rPr>
        <w:t>1</w:t>
      </w:r>
      <w:r>
        <w:rPr>
          <w:rFonts w:hint="eastAsia" w:hAnsi="宋体" w:cs="宋体"/>
          <w:color w:val="auto"/>
          <w:sz w:val="21"/>
          <w:szCs w:val="21"/>
          <w:highlight w:val="none"/>
        </w:rPr>
        <w:t>在公告</w:t>
      </w:r>
      <w:r>
        <w:rPr>
          <w:rFonts w:hint="eastAsia" w:hAnsi="宋体" w:cs="宋体"/>
          <w:color w:val="auto"/>
          <w:sz w:val="21"/>
          <w:szCs w:val="21"/>
          <w:highlight w:val="none"/>
        </w:rPr>
        <w:t>成交结果</w:t>
      </w:r>
      <w:r>
        <w:rPr>
          <w:rFonts w:hint="eastAsia" w:hAnsi="宋体" w:cs="宋体"/>
          <w:color w:val="auto"/>
          <w:sz w:val="21"/>
          <w:szCs w:val="21"/>
          <w:highlight w:val="none"/>
        </w:rPr>
        <w:t>的同时发出</w:t>
      </w:r>
      <w:r>
        <w:rPr>
          <w:rFonts w:hint="eastAsia" w:hAnsi="宋体" w:cs="宋体"/>
          <w:color w:val="auto"/>
          <w:sz w:val="21"/>
          <w:szCs w:val="21"/>
          <w:highlight w:val="none"/>
        </w:rPr>
        <w:t>成交通知书</w:t>
      </w:r>
      <w:r>
        <w:rPr>
          <w:rFonts w:hint="eastAsia" w:hAnsi="宋体" w:cs="宋体"/>
          <w:color w:val="auto"/>
          <w:sz w:val="21"/>
          <w:szCs w:val="21"/>
          <w:highlight w:val="none"/>
        </w:rPr>
        <w:t>。</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lang w:eastAsia="zh-CN"/>
        </w:rPr>
        <w:t>22.</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lang w:eastAsia="zh-CN"/>
        </w:rPr>
        <w:t>22.</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lang w:eastAsia="zh-CN"/>
        </w:rPr>
        <w:t>23.</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lang w:eastAsia="zh-CN"/>
        </w:rPr>
        <w:t>23.</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收款单位：</w:t>
      </w:r>
      <w:r>
        <w:rPr>
          <w:rFonts w:hint="eastAsia" w:cs="宋体" w:asciiTheme="minorEastAsia" w:hAnsiTheme="minorEastAsia" w:eastAsiaTheme="minorEastAsia"/>
          <w:color w:val="auto"/>
          <w:szCs w:val="21"/>
          <w:highlight w:val="none"/>
          <w:lang w:eastAsia="zh-CN"/>
        </w:rPr>
        <w:t>江苏尚阳工程管理有限公司</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银行账号：406010100100626575</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开户银行：兴业银行股份有限公司常州分行</w: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lang w:eastAsia="zh-CN"/>
        </w:rPr>
        <w:t>23.</w:t>
      </w:r>
      <w:r>
        <w:rPr>
          <w:rFonts w:hint="eastAsia" w:ascii="宋体" w:hAnsi="宋体" w:cs="宋体"/>
          <w:b w:val="0"/>
          <w:bCs/>
          <w:color w:val="auto"/>
          <w:szCs w:val="21"/>
          <w:highlight w:val="none"/>
        </w:rPr>
        <w:t>2代理服务收费标准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d3SnjTAAAACAEAAA8AAAAA&#10;AAAAAQAgAAAAIgAAAGRycy9kb3ducmV2LnhtbFBLAQIUABQAAAAIAIdO4kBPzur64AEAAIQDAAAO&#10;AAAAAAAAAAEAIAAAACIBAABkcnMvZTJvRG9jLnhtbFBLBQYAAAAABgAGAFkBAAB0BQ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tMa+NIAAAAHAQAADwAAAAAAAAABACAAAAAiAAAAZHJzL2Rvd25y&#10;ZXYueG1sUEsBAhQAFAAAAAgAh07iQPjU6tnLAQAAZgMAAA4AAAAAAAAAAQAgAAAAIQEAAGRycy9l&#10;Mm9Eb2MueG1sUEsFBgAAAAAGAAYAWQEAAF4FA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MDkqbVAAAACgEAAA8AAAAA&#10;AAAAAQAgAAAAIgAAAGRycy9kb3ducmV2LnhtbFBLAQIUABQAAAAIAIdO4kAIzanr3gEAAIQDAAAO&#10;AAAAAAAAAAEAIAAAACQBAABkcnMvZTJvRG9jLnhtbFBLBQYAAAAABgAGAFkBAAB0BQ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eastAsia="zh-CN"/>
        </w:rPr>
        <w:t>23.</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lang w:eastAsia="zh-CN"/>
        </w:rPr>
        <w:t>23.</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23.2.3评委费由成交供应商按实支付给招标代理机构。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lang w:eastAsia="zh-CN"/>
        </w:rPr>
        <w:t>24.</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24.</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24.</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24.</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24.</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24.</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25.</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响应文件中提供的材料</w:t>
      </w:r>
      <w:r>
        <w:rPr>
          <w:rFonts w:ascii="宋体" w:hAnsi="宋体"/>
          <w:b/>
          <w:bCs/>
          <w:color w:val="auto"/>
          <w:szCs w:val="21"/>
          <w:highlight w:val="none"/>
        </w:rPr>
        <w:t>均需加</w:t>
      </w:r>
      <w:r>
        <w:rPr>
          <w:rFonts w:hint="eastAsia" w:ascii="宋体" w:hAnsi="宋体"/>
          <w:b/>
          <w:bCs/>
          <w:color w:val="auto"/>
          <w:szCs w:val="21"/>
          <w:highlight w:val="none"/>
          <w:lang w:val="en-US" w:eastAsia="zh-CN"/>
        </w:rPr>
        <w:t>供应商</w:t>
      </w:r>
      <w:r>
        <w:rPr>
          <w:rFonts w:ascii="宋体" w:hAnsi="宋体"/>
          <w:b/>
          <w:bCs/>
          <w:color w:val="auto"/>
          <w:szCs w:val="21"/>
          <w:highlight w:val="none"/>
        </w:rPr>
        <w:t>盖公章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.法定代表人资格证明书（原件）、</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（如果有授权委托情况的，必须提供）</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4" w:firstLineChars="201"/>
        <w:rPr>
          <w:rFonts w:ascii="宋体" w:hAnsi="宋体" w:cs="宋体"/>
          <w:b/>
          <w:bCs/>
          <w:color w:val="auto"/>
          <w:szCs w:val="21"/>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eastAsia="zh-CN"/>
        </w:rPr>
        <w:t>丁堰智能智造产业园基础配套设施提升改造工程</w:t>
      </w:r>
      <w:r>
        <w:rPr>
          <w:rFonts w:hint="eastAsia" w:asciiTheme="minorEastAsia" w:hAnsiTheme="minorEastAsia" w:eastAsiaTheme="minorEastAsia" w:cstheme="minorEastAsia"/>
          <w:color w:val="auto"/>
          <w:spacing w:val="2"/>
          <w:szCs w:val="21"/>
          <w:highlight w:val="none"/>
          <w:u w:val="none"/>
        </w:rPr>
        <w:t>项目建议书与可行性研究报告编制服务项目，服务内容包括但不仅限于编制</w:t>
      </w:r>
      <w:r>
        <w:rPr>
          <w:rFonts w:hint="eastAsia" w:asciiTheme="minorEastAsia" w:hAnsiTheme="minorEastAsia" w:eastAsiaTheme="minorEastAsia" w:cstheme="minorEastAsia"/>
          <w:color w:val="auto"/>
          <w:spacing w:val="2"/>
          <w:szCs w:val="21"/>
          <w:highlight w:val="none"/>
          <w:u w:val="none"/>
          <w:lang w:eastAsia="zh-CN"/>
        </w:rPr>
        <w:t>丁堰智能智造产业园基础配套设施提升改造工程的</w:t>
      </w:r>
      <w:r>
        <w:rPr>
          <w:rFonts w:hint="eastAsia" w:asciiTheme="minorEastAsia" w:hAnsiTheme="minorEastAsia" w:eastAsiaTheme="minorEastAsia" w:cstheme="minorEastAsia"/>
          <w:color w:val="auto"/>
          <w:spacing w:val="2"/>
          <w:szCs w:val="21"/>
          <w:highlight w:val="none"/>
          <w:u w:val="none"/>
        </w:rPr>
        <w:t>项目建议书、可行性研究报告及报债辅助服务事宜等。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二、</w:t>
      </w:r>
      <w:r>
        <w:rPr>
          <w:rFonts w:hint="eastAsia" w:asciiTheme="minorEastAsia" w:hAnsiTheme="minorEastAsia" w:eastAsiaTheme="minorEastAsia" w:cstheme="minorEastAsia"/>
          <w:b/>
          <w:color w:val="auto"/>
          <w:szCs w:val="21"/>
          <w:highlight w:val="none"/>
          <w:u w:val="none"/>
          <w:lang w:eastAsia="zh-CN"/>
        </w:rPr>
        <w:t>服务</w:t>
      </w:r>
      <w:r>
        <w:rPr>
          <w:rFonts w:hint="eastAsia" w:asciiTheme="minorEastAsia" w:hAnsiTheme="minorEastAsia" w:eastAsiaTheme="minorEastAsia" w:cstheme="minorEastAsia"/>
          <w:b/>
          <w:color w:val="auto"/>
          <w:szCs w:val="21"/>
          <w:highlight w:val="none"/>
          <w:u w:val="none"/>
        </w:rPr>
        <w:t>内容及要求</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rPr>
      </w:pPr>
      <w:r>
        <w:rPr>
          <w:rFonts w:hint="eastAsia" w:asciiTheme="minorEastAsia" w:hAnsiTheme="minorEastAsia" w:eastAsiaTheme="minorEastAsia" w:cstheme="minorEastAsia"/>
          <w:b/>
          <w:bCs/>
          <w:color w:val="auto"/>
          <w:spacing w:val="2"/>
          <w:szCs w:val="21"/>
          <w:highlight w:val="none"/>
          <w:u w:val="none"/>
        </w:rPr>
        <w:t>1</w:t>
      </w:r>
      <w:r>
        <w:rPr>
          <w:rFonts w:hint="eastAsia" w:asciiTheme="minorEastAsia" w:hAnsiTheme="minorEastAsia" w:eastAsiaTheme="minorEastAsia" w:cstheme="minorEastAsia"/>
          <w:b/>
          <w:bCs/>
          <w:color w:val="auto"/>
          <w:spacing w:val="2"/>
          <w:szCs w:val="21"/>
          <w:highlight w:val="none"/>
          <w:u w:val="none"/>
          <w:lang w:val="en-US" w:eastAsia="zh-CN"/>
        </w:rPr>
        <w:t>.</w:t>
      </w:r>
      <w:r>
        <w:rPr>
          <w:rFonts w:hint="eastAsia" w:asciiTheme="minorEastAsia" w:hAnsiTheme="minorEastAsia" w:eastAsiaTheme="minorEastAsia" w:cstheme="minorEastAsia"/>
          <w:b/>
          <w:bCs/>
          <w:color w:val="auto"/>
          <w:spacing w:val="2"/>
          <w:szCs w:val="21"/>
          <w:highlight w:val="none"/>
          <w:u w:val="none"/>
        </w:rPr>
        <w:t>基本原则</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应根据项目特性与行业性质，从</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的项目设计、方案实施、项目批文等各个方面对即将展开的项目进行数据详实与分析合理的报告编制，为</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申请债券资金提供依据。</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rPr>
      </w:pPr>
      <w:r>
        <w:rPr>
          <w:rFonts w:hint="eastAsia" w:asciiTheme="minorEastAsia" w:hAnsiTheme="minorEastAsia" w:eastAsiaTheme="minorEastAsia" w:cstheme="minorEastAsia"/>
          <w:b/>
          <w:bCs/>
          <w:color w:val="auto"/>
          <w:spacing w:val="2"/>
          <w:szCs w:val="21"/>
          <w:highlight w:val="none"/>
          <w:u w:val="none"/>
        </w:rPr>
        <w:t>2</w:t>
      </w:r>
      <w:r>
        <w:rPr>
          <w:rFonts w:hint="eastAsia" w:asciiTheme="minorEastAsia" w:hAnsiTheme="minorEastAsia" w:eastAsiaTheme="minorEastAsia" w:cstheme="minorEastAsia"/>
          <w:b/>
          <w:bCs/>
          <w:color w:val="auto"/>
          <w:spacing w:val="2"/>
          <w:szCs w:val="21"/>
          <w:highlight w:val="none"/>
          <w:u w:val="none"/>
          <w:lang w:val="en-US" w:eastAsia="zh-CN"/>
        </w:rPr>
        <w:t>.</w:t>
      </w:r>
      <w:r>
        <w:rPr>
          <w:rFonts w:hint="eastAsia" w:asciiTheme="minorEastAsia" w:hAnsiTheme="minorEastAsia" w:eastAsiaTheme="minorEastAsia" w:cstheme="minorEastAsia"/>
          <w:b/>
          <w:bCs/>
          <w:color w:val="auto"/>
          <w:spacing w:val="2"/>
          <w:szCs w:val="21"/>
          <w:highlight w:val="none"/>
          <w:u w:val="none"/>
        </w:rPr>
        <w:t>主要服务内容</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lang w:eastAsia="zh-CN"/>
        </w:rPr>
        <w:t>成交供应商策划编写后形成以下规范的资料文件</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（1）项目建议书编制</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（2）可行性研究报告编制</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（3）项目报债辅助服务</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lang w:eastAsia="zh-CN"/>
        </w:rPr>
        <w:t>成交供应商提供的项目建议书及可行性研究报告内容格式根据</w:t>
      </w:r>
      <w:r>
        <w:rPr>
          <w:rFonts w:hint="eastAsia" w:asciiTheme="minorEastAsia" w:hAnsiTheme="minorEastAsia" w:eastAsiaTheme="minorEastAsia" w:cstheme="minorEastAsia"/>
          <w:color w:val="auto"/>
          <w:spacing w:val="2"/>
          <w:szCs w:val="21"/>
          <w:highlight w:val="none"/>
          <w:u w:val="none"/>
          <w:lang w:val="en-US" w:eastAsia="zh-CN"/>
        </w:rPr>
        <w:t>采购人</w:t>
      </w:r>
      <w:r>
        <w:rPr>
          <w:rFonts w:hint="eastAsia" w:asciiTheme="minorEastAsia" w:hAnsiTheme="minorEastAsia" w:eastAsiaTheme="minorEastAsia" w:cstheme="minorEastAsia"/>
          <w:color w:val="auto"/>
          <w:spacing w:val="2"/>
          <w:szCs w:val="21"/>
          <w:highlight w:val="none"/>
          <w:u w:val="none"/>
          <w:lang w:eastAsia="zh-CN"/>
        </w:rPr>
        <w:t>及其项目立项审核要求的专用格式与内容编制；在采购人未确定具体的格式要求时，可由成交供应商根据项目特性、行业性质及潜在报告使用要求拟订项目建议书及可行性研究报告的内容；项目报债辅助服务包含财务平衡测算，提供项目合理化相关咨询，辅助准备及填写相关表格等。</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rPr>
      </w:pPr>
      <w:r>
        <w:rPr>
          <w:rFonts w:hint="eastAsia" w:asciiTheme="minorEastAsia" w:hAnsiTheme="minorEastAsia" w:eastAsiaTheme="minorEastAsia" w:cstheme="minorEastAsia"/>
          <w:b/>
          <w:bCs/>
          <w:color w:val="auto"/>
          <w:spacing w:val="2"/>
          <w:szCs w:val="21"/>
          <w:highlight w:val="none"/>
          <w:u w:val="none"/>
          <w:lang w:val="en-US" w:eastAsia="zh-CN"/>
        </w:rPr>
        <w:t>3.</w:t>
      </w:r>
      <w:r>
        <w:rPr>
          <w:rFonts w:hint="eastAsia" w:asciiTheme="minorEastAsia" w:hAnsiTheme="minorEastAsia" w:eastAsiaTheme="minorEastAsia" w:cstheme="minorEastAsia"/>
          <w:b/>
          <w:bCs/>
          <w:color w:val="auto"/>
          <w:spacing w:val="2"/>
          <w:szCs w:val="21"/>
          <w:highlight w:val="none"/>
          <w:u w:val="none"/>
        </w:rPr>
        <w:t>工作条件和协作事项</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应向</w:t>
      </w: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提供编制项目建议书及可行性研究报告所需的技术、基础资料（项目单位/实施场地/项目进展/建设背景/建设内容与规模/工程技术方案/投资规模/资金筹集方案等内容）以及各种资质证明复印件，</w:t>
      </w: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应对有关技术、基础资料进行必要的核实工作。</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4.保密事项</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项目建议书及可行性研究报告涉及</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商业秘密的内容，未经</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同意，</w:t>
      </w: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不能泄露给其他第三方；未经</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同意，</w:t>
      </w: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在完成项目建议书及可行性研究报告编制后不得留存</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的技术、基础资料。</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三、技术规范</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四</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固定总价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lang w:val="en-US" w:eastAsia="zh-CN"/>
        </w:rPr>
        <w:t>报</w:t>
      </w:r>
      <w:r>
        <w:rPr>
          <w:rFonts w:hint="eastAsia" w:asciiTheme="minorEastAsia" w:hAnsiTheme="minorEastAsia" w:eastAsiaTheme="minorEastAsia" w:cstheme="minorEastAsia"/>
          <w:color w:val="auto"/>
          <w:szCs w:val="21"/>
          <w:highlight w:val="none"/>
          <w:u w:val="none"/>
        </w:rPr>
        <w:t>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r>
        <w:rPr>
          <w:rFonts w:hint="eastAsia" w:asciiTheme="minorEastAsia" w:hAnsiTheme="minorEastAsia" w:eastAsiaTheme="minorEastAsia" w:cstheme="minorEastAsia"/>
          <w:color w:val="auto"/>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五</w:t>
      </w:r>
      <w:r>
        <w:rPr>
          <w:rFonts w:hint="eastAsia" w:asciiTheme="minorEastAsia" w:hAnsiTheme="minorEastAsia" w:eastAsiaTheme="minorEastAsia" w:cstheme="minorEastAsia"/>
          <w:b/>
          <w:color w:val="auto"/>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8"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pacing w:val="2"/>
          <w:szCs w:val="21"/>
          <w:highlight w:val="none"/>
          <w:u w:val="none"/>
        </w:rPr>
        <w:t>成交供应商收到采购人提供的技术、基础资料后，20工作日内完成项目建议书及可行性研究报告的编制。</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、付款方式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正式报告提交</w:t>
      </w:r>
      <w:r>
        <w:rPr>
          <w:rFonts w:hint="eastAsia" w:asciiTheme="minorEastAsia" w:hAnsiTheme="minorEastAsia" w:eastAsiaTheme="minorEastAsia" w:cstheme="minorEastAsia"/>
          <w:color w:val="auto"/>
          <w:spacing w:val="2"/>
          <w:szCs w:val="21"/>
          <w:highlight w:val="none"/>
          <w:u w:val="none"/>
          <w:lang w:val="en-US" w:eastAsia="zh-CN"/>
        </w:rPr>
        <w:t>后</w:t>
      </w:r>
      <w:r>
        <w:rPr>
          <w:rFonts w:hint="eastAsia" w:asciiTheme="minorEastAsia" w:hAnsiTheme="minorEastAsia" w:eastAsiaTheme="minorEastAsia" w:cstheme="minorEastAsia"/>
          <w:color w:val="auto"/>
          <w:spacing w:val="2"/>
          <w:szCs w:val="21"/>
          <w:highlight w:val="none"/>
          <w:u w:val="none"/>
        </w:rPr>
        <w:t>一个月内一次性支付</w:t>
      </w:r>
      <w:r>
        <w:rPr>
          <w:rFonts w:hint="eastAsia" w:asciiTheme="minorEastAsia" w:hAnsiTheme="minorEastAsia" w:eastAsiaTheme="minorEastAsia" w:cstheme="minorEastAsia"/>
          <w:color w:val="auto"/>
          <w:spacing w:val="2"/>
          <w:szCs w:val="21"/>
          <w:highlight w:val="none"/>
          <w:u w:val="none"/>
          <w:lang w:val="en-US" w:eastAsia="zh-CN"/>
        </w:rPr>
        <w:t>合同价款</w:t>
      </w:r>
      <w:r>
        <w:rPr>
          <w:rFonts w:hint="eastAsia" w:asciiTheme="minorEastAsia" w:hAnsiTheme="minorEastAsia" w:eastAsiaTheme="minorEastAsia" w:cstheme="minorEastAsia"/>
          <w:color w:val="auto"/>
          <w:spacing w:val="2"/>
          <w:szCs w:val="21"/>
          <w:highlight w:val="none"/>
          <w:u w:val="none"/>
        </w:rPr>
        <w:t>。</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3.付款方式：正式报告提交后一个月内一次性支付合同价款。</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甲方未按合同规定的期限向乙方支付货款的，每逾期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val="en-US" w:eastAsia="zh-CN"/>
        </w:rPr>
        <w:t>有</w:t>
      </w:r>
      <w:r>
        <w:rPr>
          <w:rFonts w:hint="eastAsia" w:asciiTheme="minorEastAsia" w:hAnsiTheme="minorEastAsia" w:eastAsiaTheme="minorEastAsia"/>
          <w:color w:val="auto"/>
          <w:highlight w:val="none"/>
        </w:rPr>
        <w:t>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w:t>
      </w:r>
      <w:r>
        <w:rPr>
          <w:rFonts w:hint="eastAsia" w:ascii="宋体" w:hAnsi="宋体"/>
          <w:b/>
          <w:bCs/>
          <w:color w:val="auto"/>
          <w:szCs w:val="21"/>
          <w:highlight w:val="none"/>
        </w:rPr>
        <w:t>最低评标价法</w:t>
      </w:r>
      <w:r>
        <w:rPr>
          <w:rFonts w:hint="eastAsia" w:ascii="宋体" w:hAnsi="宋体"/>
          <w:color w:val="auto"/>
          <w:szCs w:val="21"/>
          <w:highlight w:val="none"/>
        </w:rPr>
        <w:t>，谈判响应文件满足竞争性谈判文件全部实质性要求且最终报价最低的供应商为成交供应商。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20</w:t>
      </w:r>
      <w:r>
        <w:rPr>
          <w:rFonts w:hint="eastAsia" w:ascii="宋体" w:hAnsi="宋体"/>
          <w:color w:val="auto"/>
          <w:szCs w:val="21"/>
          <w:highlight w:val="none"/>
        </w:rPr>
        <w:t>%的扣除用扣除后的价格参与评审。属于残疾人福利性单位的视同小微企业，给予价格扣除。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四、报价相同的，由采购人抽签决定成交供应商。</w:t>
      </w: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6"/>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w:t>
      </w:r>
      <w:r>
        <w:rPr>
          <w:rFonts w:hint="eastAsia" w:ascii="宋体" w:hAnsi="宋体"/>
          <w:color w:val="auto"/>
          <w:szCs w:val="21"/>
          <w:highlight w:val="none"/>
          <w:lang w:eastAsia="zh-CN"/>
        </w:rPr>
        <w:t>谈判</w:t>
      </w:r>
      <w:r>
        <w:rPr>
          <w:rFonts w:hint="eastAsia" w:ascii="宋体" w:hAnsi="宋体"/>
          <w:color w:val="auto"/>
          <w:szCs w:val="21"/>
          <w:highlight w:val="none"/>
        </w:rPr>
        <w:t>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w:t>
      </w:r>
      <w:r>
        <w:rPr>
          <w:rFonts w:hint="eastAsia" w:ascii="宋体" w:hAnsi="宋体"/>
          <w:color w:val="auto"/>
          <w:szCs w:val="21"/>
          <w:highlight w:val="none"/>
          <w:lang w:eastAsia="zh-CN"/>
        </w:rPr>
        <w:t>代理机构</w:t>
      </w:r>
      <w:r>
        <w:rPr>
          <w:rFonts w:hint="eastAsia" w:ascii="宋体" w:hAnsi="宋体"/>
          <w:color w:val="auto"/>
          <w:szCs w:val="21"/>
          <w:highlight w:val="none"/>
        </w:rPr>
        <w:t>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eastAsia="zh-CN"/>
        </w:rPr>
        <w:t>谈判</w:t>
      </w:r>
      <w:r>
        <w:rPr>
          <w:rFonts w:hint="eastAsia" w:ascii="宋体" w:hAnsi="宋体"/>
          <w:color w:val="auto"/>
          <w:szCs w:val="21"/>
          <w:highlight w:val="none"/>
        </w:rPr>
        <w:t>现场秩序的，以及在答疑、领取</w:t>
      </w:r>
      <w:r>
        <w:rPr>
          <w:rFonts w:hint="eastAsia" w:ascii="宋体" w:hAnsi="宋体"/>
          <w:color w:val="auto"/>
          <w:szCs w:val="21"/>
          <w:highlight w:val="none"/>
          <w:lang w:eastAsia="zh-CN"/>
        </w:rPr>
        <w:t>竞争性谈判</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w:t>
      </w:r>
      <w:r>
        <w:rPr>
          <w:rFonts w:hint="eastAsia" w:ascii="宋体" w:hAnsi="宋体"/>
          <w:color w:val="auto"/>
          <w:szCs w:val="21"/>
          <w:highlight w:val="none"/>
          <w:lang w:eastAsia="zh-CN"/>
        </w:rPr>
        <w:t>代理机构</w:t>
      </w:r>
      <w:r>
        <w:rPr>
          <w:rFonts w:hint="eastAsia" w:ascii="宋体" w:hAnsi="宋体"/>
          <w:color w:val="auto"/>
          <w:szCs w:val="21"/>
          <w:highlight w:val="none"/>
        </w:rPr>
        <w:t>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6"/>
        <w:spacing w:line="360" w:lineRule="exact"/>
        <w:rPr>
          <w:rFonts w:hint="eastAsia" w:cs="宋体"/>
          <w:b/>
          <w:color w:val="auto"/>
          <w:sz w:val="28"/>
          <w:szCs w:val="28"/>
          <w:highlight w:val="none"/>
        </w:rPr>
      </w:pPr>
    </w:p>
    <w:p>
      <w:pPr>
        <w:pStyle w:val="9"/>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6"/>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6"/>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常州市武进区丁堰街道办事处、</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6"/>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6"/>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6"/>
        <w:spacing w:line="360" w:lineRule="exact"/>
        <w:jc w:val="left"/>
        <w:rPr>
          <w:rFonts w:cs="宋体"/>
          <w:color w:val="auto"/>
          <w:sz w:val="21"/>
          <w:szCs w:val="21"/>
          <w:highlight w:val="none"/>
        </w:rPr>
      </w:pPr>
    </w:p>
    <w:p>
      <w:pPr>
        <w:pStyle w:val="16"/>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6"/>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6"/>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6"/>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谈判</w:t>
            </w:r>
            <w:r>
              <w:rPr>
                <w:rFonts w:hint="eastAsia" w:ascii="宋体" w:hAnsi="宋体"/>
                <w:color w:val="auto"/>
                <w:szCs w:val="21"/>
                <w:highlight w:val="none"/>
                <w:lang w:val="en-US" w:eastAsia="zh-CN"/>
              </w:rPr>
              <w:t>报价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pPr>
        <w:snapToGrid w:val="0"/>
        <w:spacing w:line="360" w:lineRule="auto"/>
        <w:rPr>
          <w:rFonts w:hint="eastAsia" w:ascii="宋体" w:hAnsi="宋体" w:cs="Arial"/>
          <w:color w:val="auto"/>
          <w:kern w:val="0"/>
          <w:szCs w:val="21"/>
          <w:highlight w:val="none"/>
        </w:rPr>
      </w:pPr>
    </w:p>
    <w:p>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格式自拟</w:t>
      </w:r>
      <w:r>
        <w:rPr>
          <w:rFonts w:hint="eastAsia" w:ascii="宋体" w:hAnsi="宋体" w:cs="宋体"/>
          <w:color w:val="auto"/>
          <w:szCs w:val="21"/>
          <w:highlight w:val="none"/>
          <w:lang w:eastAsia="zh-CN"/>
        </w:rPr>
        <w:t>）</w:t>
      </w:r>
    </w:p>
    <w:p>
      <w:pPr>
        <w:spacing w:line="360" w:lineRule="exact"/>
        <w:rPr>
          <w:rFonts w:hint="eastAsia" w:ascii="宋体" w:hAnsi="宋体" w:cs="宋体"/>
          <w:color w:val="auto"/>
          <w:szCs w:val="21"/>
          <w:highlight w:val="none"/>
        </w:rPr>
      </w:pPr>
    </w:p>
    <w:p>
      <w:pPr>
        <w:spacing w:line="360" w:lineRule="exact"/>
        <w:rPr>
          <w:rFonts w:hint="eastAsia" w:ascii="宋体" w:hAnsi="宋体" w:cs="宋体"/>
          <w:color w:val="auto"/>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b/>
          <w:color w:val="auto"/>
          <w:sz w:val="28"/>
          <w:szCs w:val="28"/>
          <w:highlight w:val="none"/>
        </w:rPr>
      </w:pPr>
    </w:p>
    <w:p>
      <w:pPr>
        <w:pStyle w:val="10"/>
        <w:rPr>
          <w:rFonts w:ascii="宋体" w:hAnsi="宋体" w:cs="宋体"/>
          <w:b/>
          <w:color w:val="auto"/>
          <w:sz w:val="28"/>
          <w:szCs w:val="28"/>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采购活动，服务全部由符合政策要求的中小企业承接。企业的具体情况如下：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；承接企业为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rPr>
        <w:t>投标</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w:t>
      </w:r>
      <w:r>
        <w:rPr>
          <w:rFonts w:hint="eastAsia" w:asciiTheme="minorEastAsia" w:hAnsiTheme="minorEastAsia" w:eastAsiaTheme="minorEastAsia" w:cstheme="minorEastAsia"/>
          <w:color w:val="auto"/>
          <w:spacing w:val="6"/>
          <w:sz w:val="24"/>
          <w:szCs w:val="24"/>
          <w:highlight w:val="none"/>
        </w:rPr>
        <w:t>动由本单位提供服务。</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bookmarkEnd w:id="43"/>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62C2C76"/>
    <w:rsid w:val="065D2637"/>
    <w:rsid w:val="070C42A8"/>
    <w:rsid w:val="08073296"/>
    <w:rsid w:val="08442A7A"/>
    <w:rsid w:val="08840BA4"/>
    <w:rsid w:val="089F029F"/>
    <w:rsid w:val="0917644A"/>
    <w:rsid w:val="09190442"/>
    <w:rsid w:val="098C0586"/>
    <w:rsid w:val="0C9122F8"/>
    <w:rsid w:val="0DEA5B25"/>
    <w:rsid w:val="0F856435"/>
    <w:rsid w:val="11B933BC"/>
    <w:rsid w:val="12661633"/>
    <w:rsid w:val="12D00772"/>
    <w:rsid w:val="13DD0205"/>
    <w:rsid w:val="157C54AE"/>
    <w:rsid w:val="15AA4FDA"/>
    <w:rsid w:val="17184B22"/>
    <w:rsid w:val="173F55C8"/>
    <w:rsid w:val="189063F1"/>
    <w:rsid w:val="199F3089"/>
    <w:rsid w:val="19DF25B4"/>
    <w:rsid w:val="19FF0227"/>
    <w:rsid w:val="1F7C34DD"/>
    <w:rsid w:val="1FEB1FD2"/>
    <w:rsid w:val="21FC49C9"/>
    <w:rsid w:val="2218501A"/>
    <w:rsid w:val="24C02A8C"/>
    <w:rsid w:val="270E5DF2"/>
    <w:rsid w:val="28242D82"/>
    <w:rsid w:val="29472F77"/>
    <w:rsid w:val="295959EE"/>
    <w:rsid w:val="2AD24E99"/>
    <w:rsid w:val="2BF87D54"/>
    <w:rsid w:val="2DB82ADA"/>
    <w:rsid w:val="2DE96CA3"/>
    <w:rsid w:val="33A17275"/>
    <w:rsid w:val="3412093D"/>
    <w:rsid w:val="36BD1572"/>
    <w:rsid w:val="375436D0"/>
    <w:rsid w:val="37AD4689"/>
    <w:rsid w:val="3A0B5E8B"/>
    <w:rsid w:val="3A987192"/>
    <w:rsid w:val="3D6011C1"/>
    <w:rsid w:val="3D60217E"/>
    <w:rsid w:val="3E336DCA"/>
    <w:rsid w:val="3F5F26D4"/>
    <w:rsid w:val="3FE62C2A"/>
    <w:rsid w:val="40A82892"/>
    <w:rsid w:val="40E6422E"/>
    <w:rsid w:val="413F7265"/>
    <w:rsid w:val="41894BD4"/>
    <w:rsid w:val="43887E77"/>
    <w:rsid w:val="44F557CA"/>
    <w:rsid w:val="45CC2FFC"/>
    <w:rsid w:val="47055A52"/>
    <w:rsid w:val="47587EC6"/>
    <w:rsid w:val="484473F7"/>
    <w:rsid w:val="495B7054"/>
    <w:rsid w:val="4BBA2570"/>
    <w:rsid w:val="4CFE61A4"/>
    <w:rsid w:val="4D043CAC"/>
    <w:rsid w:val="4DD21CD8"/>
    <w:rsid w:val="4EC1099D"/>
    <w:rsid w:val="521F5D66"/>
    <w:rsid w:val="5301154F"/>
    <w:rsid w:val="54AC2921"/>
    <w:rsid w:val="55AB06CF"/>
    <w:rsid w:val="562C33EA"/>
    <w:rsid w:val="571238AB"/>
    <w:rsid w:val="58132365"/>
    <w:rsid w:val="5A504AD9"/>
    <w:rsid w:val="5F4F2FEA"/>
    <w:rsid w:val="62746851"/>
    <w:rsid w:val="63237935"/>
    <w:rsid w:val="651833B8"/>
    <w:rsid w:val="65871EF3"/>
    <w:rsid w:val="6599757D"/>
    <w:rsid w:val="680C2CF8"/>
    <w:rsid w:val="690C6515"/>
    <w:rsid w:val="69447104"/>
    <w:rsid w:val="697405CC"/>
    <w:rsid w:val="6AA1152B"/>
    <w:rsid w:val="6B4B1632"/>
    <w:rsid w:val="6BD37D5E"/>
    <w:rsid w:val="6C262399"/>
    <w:rsid w:val="6D5A25EC"/>
    <w:rsid w:val="71546771"/>
    <w:rsid w:val="736C4651"/>
    <w:rsid w:val="741C3E8C"/>
    <w:rsid w:val="79157A6A"/>
    <w:rsid w:val="7A084F9B"/>
    <w:rsid w:val="7B5F5634"/>
    <w:rsid w:val="7B8F4C4D"/>
    <w:rsid w:val="7D4E532E"/>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next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paragraph" w:styleId="10">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2023-02-27T03:06:53Z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y fmtid="{D5CDD505-2E9C-101B-9397-08002B2CF9AE}" pid="3" name="ICV">
    <vt:lpwstr>BF3EF81762134CB695216B7C36052BCB</vt:lpwstr>
  </property>
</Properties>
</file>