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core.xml" ContentType="application/vnd.openxmlformats-package.core-properties+xml"/>
  <Override PartName="/word/styles.xml" ContentType="application/vnd.openxmlformats-officedocument.wordprocessingml.styles+xml"/>
  <Override PartName="/word/footer4.xml" ContentType="application/vnd.openxmlformats-officedocument.wordprocessingml.footer+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r="http://schemas.openxmlformats.org/officeDocument/2006/relationships" xmlns:w="http://schemas.openxmlformats.org/wordprocessingml/2006/main">
  <w:body>
    <w:p>
      <w:pPr>
        <w:snapToGrid w:val="false"/>
        <w:spacing w:line="360" w:lineRule="auto"/>
        <w:jc w:val="center"/>
        <w:rPr>
          <w:rFonts w:ascii="宋体" w:hAnsi="宋体" w:cs="黑体"/>
          <w:b/>
          <w:color w:val="auto"/>
          <w:spacing w:val="170"/>
          <w:kern w:val="0"/>
          <w:sz w:val="84"/>
          <w:szCs w:val="84"/>
          <w:highlight w:val="none"/>
        </w:rPr>
      </w:pPr>
    </w:p>
    <w:p>
      <w:pPr>
        <w:tabs>
          <w:tab w:val="left" w:pos="3428"/>
        </w:tabs>
        <w:snapToGrid w:val="false"/>
        <w:spacing w:line="360" w:lineRule="auto"/>
        <w:rPr>
          <w:rFonts w:hint="eastAsia" w:ascii="宋体" w:hAnsi="宋体" w:eastAsia="宋体" w:cs="黑体"/>
          <w:b/>
          <w:color w:val="auto"/>
          <w:spacing w:val="170"/>
          <w:kern w:val="0"/>
          <w:sz w:val="84"/>
          <w:szCs w:val="84"/>
          <w:highlight w:val="none"/>
          <w:lang w:eastAsia="zh-CN"/>
        </w:rPr>
      </w:pPr>
      <w:r>
        <w:rPr>
          <w:rFonts w:hint="eastAsia" w:ascii="宋体" w:hAnsi="宋体" w:cs="黑体"/>
          <w:b/>
          <w:color w:val="auto"/>
          <w:spacing w:val="170"/>
          <w:kern w:val="0"/>
          <w:sz w:val="84"/>
          <w:szCs w:val="84"/>
          <w:highlight w:val="none"/>
          <w:lang w:eastAsia="zh-CN"/>
        </w:rPr>
        <w:tab/>
      </w:r>
    </w:p>
    <w:p>
      <w:pPr>
        <w:snapToGrid w:val="false"/>
        <w:spacing w:line="360" w:lineRule="auto"/>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false"/>
        <w:snapToGrid w:val="false"/>
        <w:spacing w:line="800" w:lineRule="exact"/>
        <w:rPr>
          <w:rFonts w:ascii="宋体" w:hAnsi="宋体" w:cs="宋体"/>
          <w:color w:val="auto"/>
          <w:sz w:val="44"/>
          <w:szCs w:val="44"/>
          <w:highlight w:val="none"/>
        </w:rPr>
      </w:pPr>
    </w:p>
    <w:p>
      <w:pPr>
        <w:adjustRightInd w:val="false"/>
        <w:snapToGrid w:val="false"/>
        <w:spacing w:line="800" w:lineRule="exact"/>
        <w:ind w:firstLine="1680" w:firstLineChars="6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SYZB-SJ-2025013</w:t>
      </w:r>
    </w:p>
    <w:p>
      <w:pPr>
        <w:adjustRightInd w:val="false"/>
        <w:snapToGrid w:val="false"/>
        <w:spacing w:line="800" w:lineRule="exact"/>
        <w:ind w:left="3636" w:leftChars="798" w:hanging="1960" w:hangingChars="7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2025年度常州市公安局无人机及配套装备采购项目</w:t>
      </w:r>
    </w:p>
    <w:p>
      <w:pPr>
        <w:adjustRightInd w:val="false"/>
        <w:snapToGrid w:val="false"/>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采购人名称：常州市公安局</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二〇二五年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公告……………………………………………3-5</w:t>
      </w:r>
    </w:p>
    <w:p>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第一章  总  则………………………………………6-1</w:t>
      </w:r>
      <w:r>
        <w:rPr>
          <w:rFonts w:hint="eastAsia" w:ascii="宋体" w:hAnsi="宋体" w:cs="宋体"/>
          <w:b/>
          <w:color w:val="auto"/>
          <w:sz w:val="32"/>
          <w:szCs w:val="32"/>
          <w:highlight w:val="none"/>
          <w:lang w:val="en-US" w:eastAsia="zh-CN"/>
        </w:rPr>
        <w:t>3</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第二章  谈判响应文件的组成…………………………1</w:t>
      </w:r>
      <w:r>
        <w:rPr>
          <w:rFonts w:hint="eastAsia" w:ascii="宋体" w:hAnsi="宋体" w:cs="宋体"/>
          <w:b/>
          <w:color w:val="auto"/>
          <w:sz w:val="32"/>
          <w:szCs w:val="32"/>
          <w:highlight w:val="none"/>
          <w:lang w:val="en-US" w:eastAsia="zh-CN"/>
        </w:rPr>
        <w:t>4</w:t>
      </w:r>
    </w:p>
    <w:p>
      <w:pPr>
        <w:tabs>
          <w:tab w:val="left" w:pos="8080"/>
        </w:tabs>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采购项目及技术要求…………………………1</w:t>
      </w:r>
      <w:r>
        <w:rPr>
          <w:rFonts w:hint="eastAsia" w:ascii="宋体" w:hAnsi="宋体" w:cs="宋体"/>
          <w:b/>
          <w:color w:val="auto"/>
          <w:sz w:val="32"/>
          <w:szCs w:val="32"/>
          <w:highlight w:val="none"/>
          <w:lang w:val="en-US" w:eastAsia="zh-CN"/>
        </w:rPr>
        <w:t>5</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22</w:t>
      </w:r>
    </w:p>
    <w:p>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23</w:t>
      </w:r>
      <w:r>
        <w:rPr>
          <w:rFonts w:hint="eastAsia" w:ascii="宋体" w:hAnsi="宋体" w:cs="宋体"/>
          <w:b/>
          <w:color w:val="auto"/>
          <w:sz w:val="32"/>
          <w:szCs w:val="32"/>
          <w:highlight w:val="none"/>
        </w:rPr>
        <w:t>-2</w:t>
      </w:r>
      <w:r>
        <w:rPr>
          <w:rFonts w:hint="eastAsia" w:ascii="宋体" w:hAnsi="宋体" w:cs="宋体"/>
          <w:b/>
          <w:color w:val="auto"/>
          <w:sz w:val="32"/>
          <w:szCs w:val="32"/>
          <w:highlight w:val="none"/>
          <w:lang w:val="en-US" w:eastAsia="zh-CN"/>
        </w:rPr>
        <w:t>6</w:t>
      </w:r>
    </w:p>
    <w:p>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第五章  评审细则………………………………………2</w:t>
      </w:r>
      <w:r>
        <w:rPr>
          <w:rFonts w:hint="eastAsia" w:ascii="宋体" w:hAnsi="宋体" w:cs="宋体"/>
          <w:b/>
          <w:color w:val="auto"/>
          <w:sz w:val="32"/>
          <w:szCs w:val="32"/>
          <w:highlight w:val="none"/>
          <w:lang w:val="en-US" w:eastAsia="zh-CN"/>
        </w:rPr>
        <w:t>7</w:t>
      </w:r>
    </w:p>
    <w:p>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件…………………………………………2</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36</w:t>
      </w:r>
    </w:p>
    <w:p>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37</w:t>
      </w:r>
      <w:bookmarkStart w:id="1" w:name="_GoBack"/>
      <w:bookmarkEnd w:id="1"/>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false"/>
        <w:jc w:val="center"/>
        <w:rPr>
          <w:rFonts w:ascii="宋体" w:hAnsi="宋体"/>
          <w:b/>
          <w:color w:val="auto"/>
          <w:sz w:val="28"/>
          <w:szCs w:val="28"/>
          <w:highlight w:val="none"/>
          <w:u w:val="single"/>
        </w:rPr>
        <w:sectPr>
          <w:pgSz w:w="11906" w:h="16838"/>
          <w:pgMar w:top="1440" w:right="1800" w:bottom="1440" w:left="1800" w:header="851" w:footer="992" w:gutter="0"/>
          <w:cols w:space="425" w:num="1"/>
          <w:docGrid w:type="lines" w:linePitch="312" w:charSpace="0"/>
        </w:sectPr>
      </w:pPr>
    </w:p>
    <w:p>
      <w:pPr>
        <w:snapToGrid w:val="false"/>
        <w:jc w:val="center"/>
        <w:rPr>
          <w:rFonts w:hint="eastAsia" w:ascii="宋体" w:hAnsi="宋体" w:eastAsia="宋体"/>
          <w:b/>
          <w:color w:val="auto"/>
          <w:sz w:val="28"/>
          <w:szCs w:val="28"/>
          <w:highlight w:val="none"/>
          <w:lang w:eastAsia="zh-CN"/>
        </w:rPr>
      </w:pPr>
      <w:bookmarkStart w:id="2" w:name="_Toc28359011"/>
      <w:bookmarkStart w:id="3" w:name="_Toc35393797"/>
      <w:bookmarkStart w:id="4" w:name="_Toc35393789"/>
      <w:bookmarkStart w:id="5" w:name="_Toc28359001"/>
      <w:r>
        <w:rPr>
          <w:rFonts w:hint="eastAsia" w:ascii="宋体" w:hAnsi="宋体"/>
          <w:b/>
          <w:color w:val="auto"/>
          <w:sz w:val="28"/>
          <w:szCs w:val="28"/>
          <w:highlight w:val="none"/>
          <w:lang w:eastAsia="zh-CN"/>
        </w:rPr>
        <w:t>2025年度常州市公安局无人机及配套装备采购项目</w:t>
      </w:r>
    </w:p>
    <w:p>
      <w:pPr>
        <w:snapToGrid w:val="false"/>
        <w:jc w:val="center"/>
        <w:rPr>
          <w:rFonts w:ascii="宋体" w:hAnsi="宋体"/>
          <w:b/>
          <w:color w:val="auto"/>
          <w:sz w:val="28"/>
          <w:szCs w:val="28"/>
          <w:highlight w:val="none"/>
        </w:rPr>
      </w:pPr>
      <w:r>
        <w:rPr>
          <w:rFonts w:hint="eastAsia" w:ascii="宋体" w:hAnsi="宋体"/>
          <w:b/>
          <w:color w:val="auto"/>
          <w:sz w:val="28"/>
          <w:szCs w:val="28"/>
          <w:highlight w:val="none"/>
        </w:rPr>
        <w:t>竞争性谈判公告</w:t>
      </w:r>
      <w:bookmarkEnd w:id="2"/>
      <w:bookmarkEnd w:id="3"/>
    </w:p>
    <w:p>
      <w:pPr>
        <w:spacing w:line="360" w:lineRule="exact"/>
        <w:ind w:firstLine="420" w:firstLineChars="200"/>
        <w:rPr>
          <w:rFonts w:cs="宋体" w:asciiTheme="minorEastAsia" w:hAnsiTheme="minorEastAsia" w:eastAsiaTheme="minorEastAsia"/>
          <w:color w:val="auto"/>
          <w:szCs w:val="21"/>
          <w:highlight w:val="none"/>
        </w:rPr>
      </w:pPr>
      <w:bookmarkStart w:id="6" w:name="_Toc28359089"/>
      <w:bookmarkStart w:id="7" w:name="_Toc35393629"/>
      <w:bookmarkStart w:id="8" w:name="_Toc28359012"/>
      <w:bookmarkStart w:id="9" w:name="_Toc35393798"/>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b/>
          <w:bCs/>
          <w:color w:val="auto"/>
          <w:szCs w:val="21"/>
          <w:highlight w:val="none"/>
          <w:lang w:eastAsia="zh-CN"/>
        </w:rPr>
        <w:t>2025年度常州市公安局无人机及配套装备采购项目</w:t>
      </w:r>
      <w:r>
        <w:rPr>
          <w:rFonts w:hint="eastAsia" w:cs="宋体" w:asciiTheme="minorEastAsia" w:hAnsiTheme="minorEastAsia" w:eastAsiaTheme="minorEastAsia"/>
          <w:color w:val="auto"/>
          <w:szCs w:val="21"/>
          <w:highlight w:val="none"/>
        </w:rPr>
        <w:t>的潜在供应商应在</w:t>
      </w:r>
      <w:r>
        <w:rPr>
          <w:rFonts w:hint="eastAsia" w:cs="宋体" w:asciiTheme="minorEastAsia" w:hAnsiTheme="minorEastAsia" w:eastAsiaTheme="minorEastAsia"/>
          <w:b/>
          <w:bCs/>
          <w:color w:val="auto"/>
          <w:szCs w:val="21"/>
          <w:highlight w:val="none"/>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eastAsia="zh-CN"/>
        </w:rPr>
        <w:t>2025年</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lang w:eastAsia="zh-CN"/>
        </w:rPr>
        <w:t>月</w:t>
      </w:r>
      <w:r>
        <w:rPr>
          <w:rFonts w:hint="eastAsia" w:cs="宋体" w:asciiTheme="minorEastAsia" w:hAnsiTheme="minorEastAsia" w:eastAsiaTheme="minorEastAsia"/>
          <w:b/>
          <w:bCs/>
          <w:color w:val="auto"/>
          <w:szCs w:val="21"/>
          <w:highlight w:val="none"/>
          <w:lang w:val="en-US" w:eastAsia="zh-CN"/>
        </w:rPr>
        <w:t>22</w:t>
      </w:r>
      <w:r>
        <w:rPr>
          <w:rFonts w:hint="eastAsia" w:cs="宋体" w:asciiTheme="minorEastAsia" w:hAnsiTheme="minorEastAsia" w:eastAsiaTheme="minorEastAsia"/>
          <w:b/>
          <w:bCs/>
          <w:color w:val="auto"/>
          <w:szCs w:val="21"/>
          <w:highlight w:val="none"/>
          <w:lang w:eastAsia="zh-CN"/>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lang w:eastAsia="zh-CN"/>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lang w:eastAsia="zh-CN"/>
        </w:rPr>
        <w:t>分</w:t>
      </w:r>
      <w:r>
        <w:rPr>
          <w:rFonts w:hint="eastAsia" w:cs="宋体" w:asciiTheme="minorEastAsia" w:hAnsiTheme="minorEastAsia" w:eastAsiaTheme="minorEastAsia"/>
          <w:b/>
          <w:bCs/>
          <w:color w:val="auto"/>
          <w:szCs w:val="21"/>
          <w:highlight w:val="none"/>
        </w:rPr>
        <w:t>（北京时间）</w:t>
      </w:r>
      <w:r>
        <w:rPr>
          <w:rFonts w:hint="eastAsia" w:cs="宋体" w:asciiTheme="minorEastAsia" w:hAnsiTheme="minorEastAsia" w:eastAsiaTheme="minorEastAsia"/>
          <w:color w:val="auto"/>
          <w:szCs w:val="21"/>
          <w:highlight w:val="none"/>
        </w:rPr>
        <w:t>前提交响应文件。</w:t>
      </w:r>
    </w:p>
    <w:p>
      <w:p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End w:id="6"/>
      <w:bookmarkEnd w:id="7"/>
      <w:bookmarkEnd w:id="8"/>
      <w:bookmarkEnd w:id="9"/>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SYZB-SJ-2025013</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2025年度常州市公安局无人机及配套装备采购项目</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10" w:name="_Toc35393799"/>
      <w:bookmarkStart w:id="11" w:name="_Toc28359090"/>
      <w:bookmarkStart w:id="12" w:name="_Toc28359013"/>
      <w:bookmarkStart w:id="13" w:name="_Toc35393630"/>
      <w:r>
        <w:rPr>
          <w:rFonts w:hint="eastAsia" w:cs="宋体" w:asciiTheme="minorEastAsia" w:hAnsiTheme="minorEastAsia" w:eastAsiaTheme="minorEastAsia"/>
          <w:color w:val="auto"/>
          <w:szCs w:val="21"/>
          <w:highlight w:val="none"/>
        </w:rPr>
        <w:t>项目预算：19.61万元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招标限价：19.61万元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2025年度常州市公安局无人机及配套装备采购项目</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为进一步加强我市公安机关警用无人机建设，提升无人机硬件装备水平，促进各地实战部门能力建设，拟采购一批无人机及配套装备。</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采购清单如下：</w:t>
      </w:r>
    </w:p>
    <w:tbl>
      <w:tblPr>
        <w:tblStyle w:val="00002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03"/>
        <w:gridCol w:w="3206"/>
        <w:gridCol w:w="1333"/>
        <w:gridCol w:w="2777"/>
      </w:tblGrid>
      <w:tr>
        <w:trPr>
          <w:trHeight w:val="241" w:hRule="atLeast"/>
          <w:jc w:val="center"/>
        </w:trPr>
        <w:tc>
          <w:tcPr>
            <w:tcW w:w="1203" w:type="dxa"/>
            <w:vAlign w:val="center"/>
          </w:tcPr>
          <w:p>
            <w:pPr>
              <w:widowControl/>
              <w:jc w:val="center"/>
              <w:rPr>
                <w:b/>
                <w:bCs/>
                <w:color w:val="auto"/>
                <w:sz w:val="21"/>
                <w:szCs w:val="21"/>
                <w:highlight w:val="none"/>
              </w:rPr>
            </w:pPr>
            <w:r>
              <w:rPr>
                <w:b/>
                <w:bCs/>
                <w:color w:val="auto"/>
                <w:sz w:val="21"/>
                <w:szCs w:val="21"/>
                <w:highlight w:val="none"/>
              </w:rPr>
              <w:t>序号</w:t>
            </w:r>
          </w:p>
        </w:tc>
        <w:tc>
          <w:tcPr>
            <w:tcW w:w="3206" w:type="dxa"/>
            <w:vAlign w:val="center"/>
          </w:tcPr>
          <w:p>
            <w:pPr>
              <w:widowControl/>
              <w:jc w:val="center"/>
              <w:rPr>
                <w:b/>
                <w:bCs/>
                <w:color w:val="auto"/>
                <w:sz w:val="21"/>
                <w:szCs w:val="21"/>
                <w:highlight w:val="none"/>
              </w:rPr>
            </w:pPr>
            <w:r>
              <w:rPr>
                <w:b/>
                <w:bCs/>
                <w:color w:val="auto"/>
                <w:sz w:val="21"/>
                <w:szCs w:val="21"/>
                <w:highlight w:val="none"/>
              </w:rPr>
              <w:t>设备名称</w:t>
            </w:r>
          </w:p>
        </w:tc>
        <w:tc>
          <w:tcPr>
            <w:tcW w:w="1333" w:type="dxa"/>
            <w:vAlign w:val="center"/>
          </w:tcPr>
          <w:p>
            <w:pPr>
              <w:widowControl/>
              <w:jc w:val="center"/>
              <w:rPr>
                <w:b/>
                <w:bCs/>
                <w:color w:val="auto"/>
                <w:sz w:val="21"/>
                <w:szCs w:val="21"/>
                <w:highlight w:val="none"/>
              </w:rPr>
            </w:pPr>
            <w:r>
              <w:rPr>
                <w:b/>
                <w:bCs/>
                <w:color w:val="auto"/>
                <w:sz w:val="21"/>
                <w:szCs w:val="21"/>
                <w:highlight w:val="none"/>
              </w:rPr>
              <w:t>数量</w:t>
            </w:r>
            <w:r>
              <w:rPr>
                <w:rFonts w:hint="eastAsia"/>
                <w:b/>
                <w:bCs/>
                <w:color w:val="auto"/>
                <w:sz w:val="21"/>
                <w:szCs w:val="21"/>
                <w:highlight w:val="none"/>
              </w:rPr>
              <w:t>（套）</w:t>
            </w:r>
          </w:p>
        </w:tc>
        <w:tc>
          <w:tcPr>
            <w:tcW w:w="2777" w:type="dxa"/>
            <w:vAlign w:val="center"/>
          </w:tcPr>
          <w:p>
            <w:pPr>
              <w:widowControl/>
              <w:jc w:val="center"/>
              <w:rPr>
                <w:b/>
                <w:bCs/>
                <w:color w:val="auto"/>
                <w:sz w:val="21"/>
                <w:szCs w:val="21"/>
                <w:highlight w:val="none"/>
              </w:rPr>
            </w:pPr>
            <w:r>
              <w:rPr>
                <w:rFonts w:hint="eastAsia"/>
                <w:b/>
                <w:bCs/>
                <w:color w:val="auto"/>
                <w:sz w:val="21"/>
                <w:szCs w:val="21"/>
                <w:highlight w:val="none"/>
              </w:rPr>
              <w:t>配置要求</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消费级航拍无人机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详见技术要求1</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2</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行业级旗舰多光无人机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详见技术要求2</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3</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行业级便携多光无人机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2</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详见技术要求3</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4</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多功能RTK基站</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详见技术要求4</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5</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无线高清图传收发套装</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详见技术要求5</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6</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无人机激光映射模组</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详见技术要求6</w:t>
            </w:r>
          </w:p>
        </w:tc>
      </w:tr>
    </w:tbl>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合同签订之日起至免费维保期满结束。</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交付的时间：</w:t>
      </w:r>
      <w:r>
        <w:rPr>
          <w:rFonts w:hint="eastAsia" w:cs="宋体" w:asciiTheme="minorEastAsia" w:hAnsiTheme="minorEastAsia" w:eastAsiaTheme="minorEastAsia"/>
          <w:color w:val="auto"/>
          <w:szCs w:val="21"/>
          <w:highlight w:val="none"/>
        </w:rPr>
        <w:t>本项目工期为20个日历日。</w:t>
      </w:r>
      <w:r>
        <w:rPr>
          <w:rFonts w:hint="eastAsia" w:cs="宋体" w:asciiTheme="minorEastAsia" w:hAnsiTheme="minorEastAsia" w:eastAsiaTheme="minorEastAsia"/>
          <w:color w:val="auto"/>
          <w:szCs w:val="21"/>
          <w:highlight w:val="none"/>
          <w:lang w:eastAsia="zh-CN"/>
        </w:rPr>
        <w:t>成交供应商</w:t>
      </w:r>
      <w:r>
        <w:rPr>
          <w:rFonts w:hint="eastAsia" w:cs="宋体" w:asciiTheme="minorEastAsia" w:hAnsiTheme="minorEastAsia" w:eastAsiaTheme="minorEastAsia"/>
          <w:color w:val="auto"/>
          <w:szCs w:val="21"/>
          <w:highlight w:val="none"/>
        </w:rPr>
        <w:t>必须在签订合同后20个日历日内完成硬件设备的部署、调试工作。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本项目不接受联合体。</w:t>
      </w:r>
    </w:p>
    <w:p>
      <w:p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二、申请人的资格要求：</w:t>
      </w:r>
      <w:bookmarkEnd w:id="10"/>
      <w:bookmarkEnd w:id="11"/>
      <w:bookmarkEnd w:id="12"/>
      <w:bookmarkEnd w:id="13"/>
    </w:p>
    <w:p>
      <w:pPr>
        <w:spacing w:line="360" w:lineRule="exact"/>
        <w:ind w:firstLine="420" w:firstLineChars="200"/>
        <w:rPr>
          <w:rFonts w:cs="宋体" w:asciiTheme="minorEastAsia" w:hAnsiTheme="minorEastAsia" w:eastAsiaTheme="minorEastAsia"/>
          <w:color w:val="auto"/>
          <w:szCs w:val="21"/>
          <w:highlight w:val="none"/>
        </w:rPr>
      </w:pPr>
      <w:bookmarkStart w:id="14" w:name="_Toc35393805"/>
      <w:bookmarkStart w:id="15" w:name="_Toc28359018"/>
      <w:bookmarkStart w:id="16" w:name="_Toc28359095"/>
      <w:bookmarkStart w:id="17" w:name="_Toc35393636"/>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2.落实政府采购政策需满足的资格要求：</w:t>
      </w:r>
    </w:p>
    <w:p>
      <w:pPr>
        <w:spacing w:line="36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2.落实政府采购政策需满足的资格要求：</w:t>
      </w:r>
    </w:p>
    <w:p>
      <w:pPr>
        <w:spacing w:line="3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2.1 中小企业政策</w:t>
      </w:r>
    </w:p>
    <w:p>
      <w:pPr>
        <w:spacing w:line="3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■本项目不专门面向中小企业预留采购份额。</w:t>
      </w:r>
    </w:p>
    <w:p>
      <w:pPr>
        <w:keepNext w:val="false"/>
        <w:keepLines w:val="false"/>
        <w:pageBreakBefore w:val="false"/>
        <w:widowControl w:val="false"/>
        <w:kinsoku/>
        <w:wordWrap/>
        <w:overflowPunct/>
        <w:topLinePunct w:val="false"/>
        <w:autoSpaceDE/>
        <w:autoSpaceDN/>
        <w:bidi w:val="false"/>
        <w:adjustRightIn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本项目专门面向  </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中小 </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小微企业  采购。即：提供的货物全部由符合政策要求的中小企业制造。</w:t>
      </w:r>
    </w:p>
    <w:p>
      <w:pPr>
        <w:ind w:firstLine="422" w:firstLineChars="200"/>
        <w:rPr>
          <w:rFonts w:hint="eastAsia" w:cs="宋体" w:asciiTheme="minorEastAsia" w:hAnsiTheme="minorEastAsia" w:eastAsiaTheme="minorEastAsia"/>
          <w:color w:val="auto"/>
          <w:szCs w:val="21"/>
          <w:highlight w:val="none"/>
        </w:rPr>
      </w:pPr>
      <w:r>
        <w:rPr>
          <w:rFonts w:hint="eastAsia" w:ascii="宋体" w:hAnsi="宋体" w:eastAsia="宋体" w:cs="宋体"/>
          <w:b/>
          <w:bCs/>
          <w:color w:val="auto"/>
          <w:sz w:val="21"/>
          <w:szCs w:val="21"/>
          <w:highlight w:val="none"/>
          <w:lang w:eastAsia="zh-CN"/>
        </w:rPr>
        <w:t>2.2 其它落实政府采购政策的资格要求：</w:t>
      </w:r>
      <w:r>
        <w:rPr>
          <w:rFonts w:hint="eastAsia" w:ascii="宋体" w:hAnsi="宋体" w:eastAsia="宋体" w:cs="宋体"/>
          <w:b/>
          <w:bCs/>
          <w:color w:val="auto"/>
          <w:sz w:val="21"/>
          <w:szCs w:val="21"/>
          <w:highlight w:val="none"/>
          <w:u w:val="single"/>
          <w:lang w:eastAsia="zh-CN"/>
        </w:rPr>
        <w:t xml:space="preserve">  / </w:t>
      </w:r>
      <w:r>
        <w:rPr>
          <w:rFonts w:hint="eastAsia" w:ascii="宋体" w:hAnsi="宋体" w:eastAsia="宋体" w:cs="宋体"/>
          <w:b/>
          <w:bCs/>
          <w:color w:val="auto"/>
          <w:sz w:val="21"/>
          <w:szCs w:val="21"/>
          <w:highlight w:val="none"/>
          <w:lang w:eastAsia="zh-CN"/>
        </w:rPr>
        <w:t xml:space="preserve">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（2）未被“信用中国 ”网站（www.creditchina.gov.cn）或“中国政府采购网”网站（www.ccgp.gov.cn）列入失信被执行人、重大税收违法案件当事人名单(即重大税收违法失信主体)、政府采购严重违法失信行为记录名单（采购代理机构谈判当天查询，供应商无需提供证明材料）。</w:t>
      </w:r>
    </w:p>
    <w:p>
      <w:pPr>
        <w:snapToGrid w:val="false"/>
        <w:spacing w:line="360" w:lineRule="exact"/>
        <w:ind w:firstLine="422" w:firstLineChars="200"/>
        <w:rPr>
          <w:rFonts w:asciiTheme="minorEastAsia" w:hAnsiTheme="minorEastAsia" w:eastAsiaTheme="minorEastAsia"/>
          <w:b/>
          <w:bCs/>
          <w:color w:val="auto"/>
          <w:szCs w:val="21"/>
          <w:highlight w:val="none"/>
        </w:rPr>
      </w:pPr>
      <w:bookmarkStart w:id="18" w:name="_Toc28359015"/>
      <w:bookmarkStart w:id="19" w:name="_Toc28359092"/>
      <w:bookmarkStart w:id="20" w:name="_Toc35393632"/>
      <w:bookmarkStart w:id="21" w:name="_Toc35393801"/>
      <w:r>
        <w:rPr>
          <w:rFonts w:hint="eastAsia" w:asciiTheme="minorEastAsia" w:hAnsiTheme="minorEastAsia" w:eastAsiaTheme="minorEastAsia"/>
          <w:b/>
          <w:bCs/>
          <w:color w:val="auto"/>
          <w:szCs w:val="21"/>
          <w:highlight w:val="none"/>
        </w:rPr>
        <w:t>三、获取采购文件</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时间：202</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年</w:t>
      </w:r>
      <w:r>
        <w:rPr>
          <w:rFonts w:hint="eastAsia" w:cs="宋体" w:asciiTheme="minorEastAsia" w:hAnsiTheme="minorEastAsia" w:eastAsiaTheme="minorEastAsia"/>
          <w:color w:val="auto"/>
          <w:szCs w:val="21"/>
          <w:highlight w:val="none"/>
          <w:lang w:val="en-US" w:eastAsia="zh-CN"/>
        </w:rPr>
        <w:t>10</w:t>
      </w:r>
      <w:r>
        <w:rPr>
          <w:rFonts w:hint="eastAsia" w:cs="宋体" w:asciiTheme="minorEastAsia" w:hAnsiTheme="minorEastAsia" w:eastAsiaTheme="minorEastAsia"/>
          <w:color w:val="auto"/>
          <w:szCs w:val="21"/>
          <w:highlight w:val="none"/>
        </w:rPr>
        <w:t>月</w:t>
      </w:r>
      <w:r>
        <w:rPr>
          <w:rFonts w:hint="eastAsia" w:cs="宋体" w:asciiTheme="minorEastAsia" w:hAnsiTheme="minorEastAsia" w:eastAsiaTheme="minorEastAsia"/>
          <w:color w:val="auto"/>
          <w:szCs w:val="21"/>
          <w:highlight w:val="none"/>
          <w:lang w:val="en-US" w:eastAsia="zh-CN"/>
        </w:rPr>
        <w:t>16</w:t>
      </w:r>
      <w:r>
        <w:rPr>
          <w:rFonts w:hint="eastAsia" w:cs="宋体" w:asciiTheme="minorEastAsia" w:hAnsiTheme="minorEastAsia" w:eastAsiaTheme="minorEastAsia"/>
          <w:color w:val="auto"/>
          <w:szCs w:val="21"/>
          <w:highlight w:val="none"/>
        </w:rPr>
        <w:t>日起</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地点：江苏尚阳工程管理有限公司（常州市新北区嵩山路1-301号（太湖明珠苑综合市场3楼））综合办</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方式：符合条件的供应商网上自行下载</w:t>
      </w:r>
    </w:p>
    <w:p>
      <w:pPr>
        <w:snapToGrid w:val="false"/>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售价：</w:t>
      </w:r>
      <w:r>
        <w:rPr>
          <w:rFonts w:hint="eastAsia" w:cs="宋体" w:asciiTheme="minorEastAsia" w:hAnsiTheme="minorEastAsia" w:eastAsiaTheme="minorEastAsia"/>
          <w:color w:val="auto"/>
          <w:szCs w:val="21"/>
          <w:highlight w:val="none"/>
          <w:lang w:val="en-US" w:eastAsia="zh-CN"/>
        </w:rPr>
        <w:t>不收取报名费。</w:t>
      </w:r>
    </w:p>
    <w:p>
      <w:pPr>
        <w:numPr>
          <w:ilvl w:val="0"/>
          <w:numId w:val="1"/>
        </w:num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响应文件提交</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cs="宋体" w:asciiTheme="minorEastAsia" w:hAnsiTheme="minorEastAsia" w:eastAsiaTheme="minorEastAsia"/>
          <w:b/>
          <w:bCs/>
          <w:color w:val="auto"/>
          <w:szCs w:val="21"/>
          <w:highlight w:val="none"/>
          <w:lang w:eastAsia="zh-CN"/>
        </w:rPr>
        <w:t>2025年</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lang w:eastAsia="zh-CN"/>
        </w:rPr>
        <w:t>月</w:t>
      </w:r>
      <w:r>
        <w:rPr>
          <w:rFonts w:hint="eastAsia" w:cs="宋体" w:asciiTheme="minorEastAsia" w:hAnsiTheme="minorEastAsia" w:eastAsiaTheme="minorEastAsia"/>
          <w:b/>
          <w:bCs/>
          <w:color w:val="auto"/>
          <w:szCs w:val="21"/>
          <w:highlight w:val="none"/>
          <w:lang w:val="en-US" w:eastAsia="zh-CN"/>
        </w:rPr>
        <w:t>22</w:t>
      </w:r>
      <w:r>
        <w:rPr>
          <w:rFonts w:hint="eastAsia" w:cs="宋体" w:asciiTheme="minorEastAsia" w:hAnsiTheme="minorEastAsia" w:eastAsiaTheme="minorEastAsia"/>
          <w:b/>
          <w:bCs/>
          <w:color w:val="auto"/>
          <w:szCs w:val="21"/>
          <w:highlight w:val="none"/>
          <w:lang w:eastAsia="zh-CN"/>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lang w:eastAsia="zh-CN"/>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lang w:eastAsia="zh-CN"/>
        </w:rPr>
        <w:t>分</w:t>
      </w:r>
      <w:r>
        <w:rPr>
          <w:rFonts w:hint="eastAsia" w:ascii="宋体" w:hAnsi="宋体" w:cs="宋体"/>
          <w:color w:val="auto"/>
          <w:szCs w:val="21"/>
          <w:highlight w:val="none"/>
        </w:rPr>
        <w:t>（北京时间）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地点：江苏尚阳工程管理有限公司（常州市新北区嵩山路1-301号（太湖明珠苑综合市场3楼））</w:t>
      </w:r>
    </w:p>
    <w:p>
      <w:p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五、公告期限</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六、其他补充事宜</w:t>
      </w:r>
    </w:p>
    <w:p>
      <w:pPr>
        <w:spacing w:line="360" w:lineRule="exact"/>
        <w:ind w:firstLine="420" w:firstLineChars="200"/>
        <w:rPr>
          <w:rFonts w:cs="宋体" w:asciiTheme="minorEastAsia" w:hAnsiTheme="minorEastAsia" w:eastAsiaTheme="minorEastAsia"/>
          <w:color w:val="auto"/>
          <w:szCs w:val="21"/>
          <w:highlight w:val="none"/>
        </w:rPr>
      </w:pPr>
      <w:bookmarkEnd w:id="18"/>
      <w:bookmarkEnd w:id="19"/>
      <w:bookmarkEnd w:id="20"/>
      <w:bookmarkEnd w:id="21"/>
      <w:r>
        <w:rPr>
          <w:rFonts w:hint="eastAsia" w:cs="宋体" w:asciiTheme="minorEastAsia" w:hAnsiTheme="minorEastAsia" w:eastAsiaTheme="minorEastAsia"/>
          <w:color w:val="auto"/>
          <w:szCs w:val="21"/>
          <w:highlight w:val="none"/>
        </w:rPr>
        <w:t>1.现场勘查及标前答疑</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2.谈判保证金</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color w:val="auto"/>
          <w:szCs w:val="21"/>
          <w:highlight w:val="none"/>
          <w:lang w:val="en-US" w:eastAsia="zh-CN"/>
        </w:rPr>
        <w:t>叁仟玖佰</w:t>
      </w:r>
      <w:r>
        <w:rPr>
          <w:rFonts w:hint="eastAsia" w:cs="宋体" w:asciiTheme="minorEastAsia" w:hAnsiTheme="minorEastAsia" w:eastAsiaTheme="minorEastAsia"/>
          <w:b/>
          <w:color w:val="auto"/>
          <w:szCs w:val="21"/>
          <w:highlight w:val="none"/>
        </w:rPr>
        <w:t>元整</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收款单位：江苏尚阳工程管理有限公司</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w:t>
      </w:r>
      <w:r>
        <w:rPr>
          <w:rFonts w:hint="eastAsia" w:cs="宋体" w:asciiTheme="minorEastAsia" w:hAnsiTheme="minorEastAsia" w:eastAsiaTheme="minorEastAsia"/>
          <w:b/>
          <w:bCs/>
          <w:color w:val="auto"/>
          <w:szCs w:val="21"/>
          <w:highlight w:val="none"/>
        </w:rPr>
        <w:t>到账截止日期：2025年</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21</w:t>
      </w:r>
      <w:r>
        <w:rPr>
          <w:rFonts w:hint="eastAsia" w:cs="宋体" w:asciiTheme="minorEastAsia" w:hAnsiTheme="minorEastAsia" w:eastAsiaTheme="minorEastAsia"/>
          <w:b/>
          <w:bCs/>
          <w:color w:val="auto"/>
          <w:szCs w:val="21"/>
          <w:highlight w:val="none"/>
        </w:rPr>
        <w:t>日</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谈判保证金交纳方式：银行电汇或转账</w:t>
      </w:r>
      <w:r>
        <w:rPr>
          <w:rFonts w:hint="eastAsia" w:cs="宋体" w:asciiTheme="minorEastAsia" w:hAnsiTheme="minorEastAsia" w:eastAsiaTheme="minorEastAsia"/>
          <w:b/>
          <w:bCs/>
          <w:color w:val="auto"/>
          <w:szCs w:val="21"/>
          <w:highlight w:val="none"/>
        </w:rPr>
        <w:t>（备注项目编号）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注：</w:t>
      </w:r>
      <w:r>
        <w:rPr>
          <w:rFonts w:hint="eastAsia" w:cs="宋体" w:asciiTheme="minorEastAsia" w:hAnsiTheme="minorEastAsia" w:eastAsiaTheme="minorEastAsia"/>
          <w:color w:val="auto"/>
          <w:szCs w:val="21"/>
          <w:highlight w:val="none"/>
        </w:rPr>
        <w:t>供应商必须自行将谈判保证金从公司账户按规定方式和时间缴至上述指定账户并到账，拒绝以其它方式缴纳，禁止第三方代缴保证金，否则将被视为无效响应，其响应文件将被拒绝。</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3.说明</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竞争性谈判文件售后一概不退。供应商递交的响应文件概不退还。一经报名，供应商不得更改单位名称。</w:t>
      </w:r>
    </w:p>
    <w:p>
      <w:pPr>
        <w:snapToGrid w:val="false"/>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14"/>
      <w:bookmarkEnd w:id="15"/>
      <w:bookmarkEnd w:id="16"/>
      <w:bookmarkEnd w:id="17"/>
    </w:p>
    <w:p>
      <w:pPr>
        <w:spacing w:line="360" w:lineRule="exact"/>
        <w:ind w:firstLine="420" w:firstLineChars="200"/>
        <w:rPr>
          <w:rFonts w:cs="宋体" w:asciiTheme="minorEastAsia" w:hAnsiTheme="minorEastAsia" w:eastAsiaTheme="minorEastAsia"/>
          <w:color w:val="auto"/>
          <w:szCs w:val="21"/>
          <w:highlight w:val="none"/>
        </w:rPr>
      </w:pPr>
      <w:bookmarkEnd w:id="4"/>
      <w:bookmarkEnd w:id="5"/>
      <w:r>
        <w:rPr>
          <w:rFonts w:hint="eastAsia" w:cs="宋体" w:asciiTheme="minorEastAsia" w:hAnsiTheme="minorEastAsia" w:eastAsiaTheme="minorEastAsia"/>
          <w:color w:val="auto"/>
          <w:szCs w:val="21"/>
          <w:highlight w:val="none"/>
        </w:rPr>
        <w:t>1.采购人信息</w:t>
      </w:r>
    </w:p>
    <w:p>
      <w:pPr>
        <w:spacing w:line="360" w:lineRule="exact"/>
        <w:ind w:firstLine="420" w:firstLineChars="200"/>
        <w:rPr>
          <w:rFonts w:cs="宋体" w:asciiTheme="minorEastAsia" w:hAnsiTheme="minorEastAsia" w:eastAsiaTheme="minorEastAsia"/>
          <w:color w:val="auto"/>
          <w:szCs w:val="21"/>
          <w:highlight w:val="none"/>
        </w:rPr>
      </w:pPr>
      <w:bookmarkStart w:id="22" w:name="_Toc28359009"/>
      <w:bookmarkStart w:id="23" w:name="_Toc28359086"/>
      <w:r>
        <w:rPr>
          <w:rFonts w:hint="eastAsia" w:cs="宋体" w:asciiTheme="minorEastAsia" w:hAnsiTheme="minorEastAsia" w:eastAsiaTheme="minorEastAsia"/>
          <w:color w:val="auto"/>
          <w:szCs w:val="21"/>
          <w:highlight w:val="none"/>
        </w:rPr>
        <w:t>名称：常州市公安局</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地址：常州市龙锦路1588号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联系方式：邵先生，0519-81993183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22"/>
      <w:bookmarkEnd w:id="23"/>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名称：江苏尚阳工程管理有限公司</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地址：常州市新北区嵩山路1-301号（太湖明珠苑综合市场3楼）</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bookmarkStart w:id="24" w:name="_Toc28359010"/>
      <w:bookmarkStart w:id="25" w:name="_Toc28359087"/>
      <w:r>
        <w:rPr>
          <w:rFonts w:hint="eastAsia" w:cs="宋体" w:asciiTheme="minorEastAsia" w:hAnsiTheme="minorEastAsia" w:eastAsiaTheme="minorEastAsia"/>
          <w:color w:val="auto"/>
          <w:szCs w:val="21"/>
          <w:highlight w:val="none"/>
        </w:rPr>
        <w:t>0519-88818225</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3.项目联系方式</w:t>
      </w:r>
      <w:bookmarkEnd w:id="24"/>
      <w:bookmarkEnd w:id="25"/>
    </w:p>
    <w:p>
      <w:pPr>
        <w:spacing w:line="360" w:lineRule="exact"/>
        <w:ind w:firstLine="420" w:firstLineChars="200"/>
        <w:rPr>
          <w:rFonts w:ascii="宋体" w:hAnsi="宋体" w:cs="宋体" w:eastAsiaTheme="minorEastAsia"/>
          <w:color w:val="auto"/>
          <w:szCs w:val="21"/>
          <w:highlight w:val="none"/>
        </w:rPr>
      </w:pPr>
      <w:r>
        <w:rPr>
          <w:rFonts w:hint="eastAsia" w:cs="宋体" w:asciiTheme="minorEastAsia" w:hAnsiTheme="minorEastAsia" w:eastAsiaTheme="minorEastAsia"/>
          <w:color w:val="auto"/>
          <w:szCs w:val="21"/>
          <w:highlight w:val="none"/>
        </w:rPr>
        <w:t>项目联系人：</w:t>
      </w:r>
      <w:r>
        <w:rPr>
          <w:rFonts w:hint="eastAsia" w:ascii="宋体" w:hAnsi="宋体" w:cs="宋体" w:eastAsiaTheme="minorEastAsia"/>
          <w:color w:val="auto"/>
          <w:szCs w:val="21"/>
          <w:highlight w:val="none"/>
        </w:rPr>
        <w:t>单馨莹</w:t>
      </w:r>
    </w:p>
    <w:p>
      <w:pPr>
        <w:spacing w:line="360" w:lineRule="exact"/>
        <w:ind w:firstLine="420" w:firstLineChars="200"/>
        <w:rPr>
          <w:rFonts w:ascii="宋体" w:hAnsi="宋体" w:cs="宋体"/>
          <w:color w:val="auto"/>
          <w:szCs w:val="21"/>
          <w:highlight w:val="none"/>
        </w:rPr>
      </w:pPr>
      <w:r>
        <w:rPr>
          <w:rFonts w:hint="eastAsia" w:cs="宋体" w:asciiTheme="minorEastAsia" w:hAnsiTheme="minorEastAsia" w:eastAsiaTheme="minorEastAsia"/>
          <w:color w:val="auto"/>
          <w:szCs w:val="21"/>
          <w:highlight w:val="none"/>
        </w:rPr>
        <w:t>电话：</w:t>
      </w:r>
      <w:r>
        <w:rPr>
          <w:rFonts w:hint="eastAsia" w:ascii="宋体" w:hAnsi="宋体" w:cs="宋体"/>
          <w:color w:val="auto"/>
          <w:szCs w:val="21"/>
          <w:highlight w:val="none"/>
        </w:rPr>
        <w:t>0519-88818295(8001)</w:t>
      </w:r>
    </w:p>
    <w:p>
      <w:pPr>
        <w:snapToGrid w:val="false"/>
        <w:spacing w:line="360" w:lineRule="auto"/>
        <w:rPr>
          <w:rFonts w:ascii="宋体" w:hAnsi="宋体"/>
          <w:b/>
          <w:bCs/>
          <w:color w:val="auto"/>
          <w:sz w:val="24"/>
          <w:szCs w:val="24"/>
          <w:highlight w:val="none"/>
        </w:rPr>
      </w:pPr>
    </w:p>
    <w:p>
      <w:pPr>
        <w:rPr>
          <w:rFonts w:hint="eastAsia" w:ascii="宋体" w:hAnsi="宋体"/>
          <w:b/>
          <w:bCs/>
          <w:color w:val="auto"/>
          <w:sz w:val="24"/>
          <w:szCs w:val="24"/>
          <w:highlight w:val="none"/>
        </w:rPr>
      </w:pPr>
      <w:r>
        <w:rPr>
          <w:rFonts w:hint="eastAsia" w:ascii="宋体" w:hAnsi="宋体"/>
          <w:b/>
          <w:bCs/>
          <w:color w:val="auto"/>
          <w:sz w:val="24"/>
          <w:szCs w:val="24"/>
          <w:highlight w:val="none"/>
        </w:rPr>
        <w:br w:type="page"/>
      </w: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本次采购采取竞争性谈判方式，本竞争性谈判文件仅适用于谈判公告中所述项目。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.谈判费用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参加谈判供应商应自行承担所有与参加谈判有关的费用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.竞争性谈判文件的组成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本文件及依法对本文件所作的更正内容均为竞争性谈判文件的组成部分。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供应商应仔细检查竞争性谈判文件是否齐全，如有缺漏，立即与代理机构联系解决。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供应商一旦参加本项目采购活动，即被认为接受了本竞争性谈判文件的规定和约束。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.竞争性谈判文件的补充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.2供应商提出的与谈判有关的任何问题须在收到竞争性谈判文件后，按规定时间以书面形式递交至采购代理机构，未以书面形式提出或逾期提出的异议将不被接受。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.3采购人及代理机构有权对已发出的竞争性谈判文件进行必要的澄清或更正。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rPr>
        <w:t>谈判响应文件</w:t>
      </w:r>
      <w:r>
        <w:rPr>
          <w:rFonts w:ascii="宋体" w:hAnsi="宋体" w:cs="宋体"/>
          <w:bCs/>
          <w:color w:val="auto"/>
          <w:szCs w:val="21"/>
          <w:highlight w:val="none"/>
        </w:rPr>
        <w:t>提交截止时间和</w:t>
      </w:r>
      <w:r>
        <w:rPr>
          <w:rFonts w:hint="eastAsia" w:ascii="宋体" w:hAnsi="宋体" w:cs="宋体"/>
          <w:bCs/>
          <w:color w:val="auto"/>
          <w:szCs w:val="21"/>
          <w:highlight w:val="none"/>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rPr>
        <w:t>竞争性谈判文件的补充、澄清、更正将</w:t>
      </w:r>
      <w:r>
        <w:rPr>
          <w:rFonts w:ascii="宋体" w:hAnsi="宋体"/>
          <w:b/>
          <w:color w:val="auto"/>
          <w:szCs w:val="21"/>
          <w:highlight w:val="none"/>
        </w:rPr>
        <w:t>在</w:t>
      </w:r>
      <w:r>
        <w:rPr>
          <w:rFonts w:hint="eastAsia" w:ascii="宋体" w:hAnsi="宋体"/>
          <w:b/>
          <w:color w:val="auto"/>
          <w:szCs w:val="21"/>
          <w:highlight w:val="none"/>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。补充文件将作为竞争性谈判文件的组成部分，并对供应商具有约束力，由供应商自行关注并获取。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供应商应当认真阅读竞争性谈判文件，完全明了采购项目的内容。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3供应商应在谈判响应文件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截止时间前，将密封的谈判响应文件送达谈判地点。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7.谈判报价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7.1本项目谈判总价应包括为完成该项目所涉及到的一切相关费用，采购人不再支付其他任何费用。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7.2谈判报价方式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1供应商应按照竞争性谈判文件中提供的格式完整填写报价一览表。报价一览表中的报价应与谈判分项报价表的总价完全一致，如有不一致的，以报价一览表的报价为准。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rPr>
        <w:t>谈判报价高于最高限价</w:t>
      </w:r>
      <w:r>
        <w:rPr>
          <w:rFonts w:hint="eastAsia" w:ascii="宋体" w:hAnsi="宋体" w:cs="宋体"/>
          <w:b/>
          <w:bCs/>
          <w:color w:val="auto"/>
          <w:szCs w:val="21"/>
          <w:highlight w:val="none"/>
        </w:rPr>
        <w:t>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rPr>
        <w:t>谈判报价次数：本项目采用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次报价，谈判响应文件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的报价作为首次报价，在谈判结束后，谈判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8.谈判响应文件的组成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详见第二章《谈判响应文件的组成》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9.谈判保证金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9.1谈判保证金是谈判响应文件的一个组成部分，供应商须按规定从供应商账户缴纳。谈判时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成交供应商的谈判保证金将在其合同签约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并没收其谈判保证金：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供应商在谈判有效期内撤回其谈判响应文件；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2成交供应商无正当理由拒绝签订合同或者由于供应商的原因导致成交无效的；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3供应商提供的有关资料、资格证明文件被确认是不真实的或供应商之间被证实有串通（统一哄抬价格）、欺诈行为；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.4供应商被证明有妨碍其他人公平竞争、损害代理机构或者其他供应商合法权益的；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5法律法规认定的其他情形。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10.谈判响应文件的制作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rPr>
        <w:t>谈判响应文件</w:t>
      </w:r>
      <w:r>
        <w:rPr>
          <w:rFonts w:hint="eastAsia" w:ascii="宋体" w:hAnsi="宋体" w:cs="宋体"/>
          <w:b/>
          <w:bCs/>
          <w:color w:val="auto"/>
          <w:szCs w:val="21"/>
          <w:highlight w:val="none"/>
        </w:rPr>
        <w:t>壹份“正本”、贰份“副本”、</w:t>
      </w:r>
      <w:r>
        <w:rPr>
          <w:rFonts w:ascii="宋体" w:hAnsi="宋体" w:cs="宋体"/>
          <w:b/>
          <w:bCs/>
          <w:color w:val="auto"/>
          <w:szCs w:val="21"/>
          <w:highlight w:val="none"/>
        </w:rPr>
        <w:t>壹份“</w:t>
      </w:r>
      <w:r>
        <w:rPr>
          <w:rFonts w:hint="eastAsia" w:ascii="宋体" w:hAnsi="宋体" w:cs="宋体"/>
          <w:b/>
          <w:bCs/>
          <w:color w:val="auto"/>
          <w:szCs w:val="21"/>
          <w:highlight w:val="none"/>
        </w:rPr>
        <w:t>电子光盘或U盘</w:t>
      </w:r>
      <w:r>
        <w:rPr>
          <w:rFonts w:ascii="宋体" w:hAnsi="宋体" w:cs="宋体"/>
          <w:b/>
          <w:bCs/>
          <w:color w:val="auto"/>
          <w:szCs w:val="21"/>
          <w:highlight w:val="none"/>
        </w:rPr>
        <w:t>”</w:t>
      </w:r>
      <w:r>
        <w:rPr>
          <w:rFonts w:hint="eastAsia" w:ascii="宋体" w:hAnsi="宋体" w:cs="宋体"/>
          <w:b/>
          <w:bCs/>
          <w:color w:val="auto"/>
          <w:szCs w:val="21"/>
          <w:highlight w:val="none"/>
        </w:rPr>
        <w:t>（光盘</w:t>
      </w:r>
      <w:r>
        <w:rPr>
          <w:rFonts w:ascii="宋体" w:hAnsi="宋体" w:cs="宋体"/>
          <w:b/>
          <w:bCs/>
          <w:color w:val="auto"/>
          <w:szCs w:val="21"/>
          <w:highlight w:val="none"/>
        </w:rPr>
        <w:t>中含全套</w:t>
      </w:r>
      <w:r>
        <w:rPr>
          <w:rFonts w:hint="eastAsia" w:ascii="宋体" w:hAnsi="宋体" w:cs="宋体"/>
          <w:b/>
          <w:bCs/>
          <w:color w:val="auto"/>
          <w:szCs w:val="21"/>
          <w:highlight w:val="none"/>
        </w:rPr>
        <w:t>正本谈判</w:t>
      </w:r>
      <w:r>
        <w:rPr>
          <w:rFonts w:ascii="宋体" w:hAnsi="宋体" w:cs="宋体"/>
          <w:b/>
          <w:bCs/>
          <w:color w:val="auto"/>
          <w:szCs w:val="21"/>
          <w:highlight w:val="none"/>
        </w:rPr>
        <w:t>响应文件</w:t>
      </w:r>
      <w:r>
        <w:rPr>
          <w:rFonts w:hint="eastAsia" w:ascii="宋体" w:hAnsi="宋体" w:cs="宋体"/>
          <w:b/>
          <w:bCs/>
          <w:color w:val="auto"/>
          <w:szCs w:val="21"/>
          <w:highlight w:val="none"/>
        </w:rPr>
        <w:t>）</w:t>
      </w:r>
      <w:r>
        <w:rPr>
          <w:rFonts w:hint="eastAsia" w:ascii="宋体" w:hAnsi="宋体" w:cs="宋体"/>
          <w:b/>
          <w:color w:val="auto"/>
          <w:szCs w:val="21"/>
          <w:highlight w:val="none"/>
        </w:rPr>
        <w:t>。</w:t>
      </w:r>
      <w:r>
        <w:rPr>
          <w:rFonts w:hint="eastAsia" w:ascii="宋体" w:hAnsi="宋体" w:cs="宋体"/>
          <w:color w:val="auto"/>
          <w:szCs w:val="21"/>
          <w:highlight w:val="none"/>
        </w:rPr>
        <w:t>谈判响应文件正本和副本如有不一致之处，以正本为准。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10.2谈判响应文件正本、副本必须全部是打印件。供应商应按照要求签字、盖章。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10.3谈判响应文件应无涂改和行间插字，供应商造成的必须修改的错误，修改处应由谈判响应文件法定代表人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10.4供应商在谈判响应文件中应加盖与供应商全称相一致的标准公章，不得使用其他形式如带有“专用章”等字样的印章，否则视为无效响应；供应商法定代表人或授权代表的签字或盖章须为全名，否则视为无效响应。</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11.谈判响应文件的有效期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谈判响应</w:t>
      </w:r>
      <w:r>
        <w:rPr>
          <w:rFonts w:ascii="宋体" w:hAnsi="宋体" w:cs="宋体"/>
          <w:color w:val="auto"/>
          <w:szCs w:val="21"/>
          <w:highlight w:val="none"/>
        </w:rPr>
        <w:t>文件</w:t>
      </w:r>
      <w:r>
        <w:rPr>
          <w:rFonts w:hint="eastAsia" w:ascii="宋体" w:hAnsi="宋体" w:cs="宋体"/>
          <w:color w:val="auto"/>
          <w:szCs w:val="21"/>
          <w:highlight w:val="none"/>
        </w:rPr>
        <w:t>有效期为规定的谈判之日后</w:t>
      </w:r>
      <w:r>
        <w:rPr>
          <w:rFonts w:hint="eastAsia" w:ascii="宋体" w:hAnsi="宋体" w:cs="宋体"/>
          <w:b/>
          <w:color w:val="auto"/>
          <w:szCs w:val="21"/>
          <w:highlight w:val="none"/>
        </w:rPr>
        <w:t>六十（60）天</w:t>
      </w:r>
      <w:r>
        <w:rPr>
          <w:rFonts w:hint="eastAsia" w:ascii="宋体" w:hAnsi="宋体" w:cs="宋体"/>
          <w:color w:val="auto"/>
          <w:szCs w:val="21"/>
          <w:highlight w:val="none"/>
        </w:rPr>
        <w:t>。谈判响应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12.谈判响应文件的密封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谈判响应文件（正本和副本）须装订成册并加以密封，电子光盘或U盘应当单独密封，密封袋表面应注明项目名称、项目编号、供应商名称并加盖供应商公章</w:t>
      </w:r>
      <w:r>
        <w:rPr>
          <w:rFonts w:hint="eastAsia" w:ascii="宋体" w:hAnsi="宋体" w:cs="宋体"/>
          <w:color w:val="auto"/>
          <w:szCs w:val="21"/>
          <w:highlight w:val="none"/>
        </w:rPr>
        <w:t>。</w:t>
      </w:r>
      <w:r>
        <w:rPr>
          <w:rFonts w:hint="eastAsia" w:ascii="宋体" w:hAnsi="宋体" w:cs="宋体"/>
          <w:b/>
          <w:bCs/>
          <w:color w:val="auto"/>
          <w:szCs w:val="21"/>
          <w:highlight w:val="none"/>
        </w:rPr>
        <w:t>如果供应商未按上述要求进行密封和标记，代理机构对误投或过早启封概不负责。对由此造成提前开封的谈判响应文件，代理机构予以拒绝，并退回给供应商。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13.谈判响应文件提交截止时间及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cs="宋体"/>
          <w:b/>
          <w:color w:val="auto"/>
          <w:szCs w:val="21"/>
          <w:highlight w:val="none"/>
        </w:rPr>
      </w:pPr>
      <w:r>
        <w:rPr>
          <w:rFonts w:hint="eastAsia" w:ascii="宋体" w:hAnsi="宋体"/>
          <w:b/>
          <w:color w:val="auto"/>
          <w:spacing w:val="2"/>
          <w:szCs w:val="21"/>
          <w:highlight w:val="none"/>
        </w:rPr>
        <w:t>供应商在提交谈判响应文件时须提供有效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法定代表人或代理人身份证原件，未提供的，代理机构不接收其谈判响应文件。</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14.谈判响应文件的修改和撤回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供应商在递交谈判响应文件后，可以修改或撤回其谈判响应文件，但这种修改和撤回，必须在规定的谈判响应文件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w:t>
      </w:r>
      <w:r>
        <w:rPr>
          <w:rFonts w:ascii="宋体" w:hAnsi="宋体"/>
          <w:color w:val="auto"/>
          <w:szCs w:val="21"/>
          <w:highlight w:val="none"/>
        </w:rPr>
        <w:t>提交</w:t>
      </w:r>
      <w:r>
        <w:rPr>
          <w:rFonts w:hint="eastAsia" w:ascii="宋体" w:hAnsi="宋体"/>
          <w:color w:val="auto"/>
          <w:szCs w:val="21"/>
          <w:highlight w:val="none"/>
        </w:rPr>
        <w:t>截止时间前送达谈判地点。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在谈判响应文件</w:t>
      </w:r>
      <w:r>
        <w:rPr>
          <w:rFonts w:ascii="宋体" w:hAnsi="宋体"/>
          <w:color w:val="auto"/>
          <w:szCs w:val="21"/>
          <w:highlight w:val="none"/>
        </w:rPr>
        <w:t>提交</w:t>
      </w:r>
      <w:r>
        <w:rPr>
          <w:rFonts w:hint="eastAsia" w:ascii="宋体" w:hAnsi="宋体"/>
          <w:color w:val="auto"/>
          <w:szCs w:val="21"/>
          <w:highlight w:val="none"/>
        </w:rPr>
        <w:t>截止时间之后，供应商不得对其谈判响应文件作任何修改。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在谈判响应文件</w:t>
      </w:r>
      <w:r>
        <w:rPr>
          <w:rFonts w:ascii="宋体" w:hAnsi="宋体"/>
          <w:color w:val="auto"/>
          <w:szCs w:val="21"/>
          <w:highlight w:val="none"/>
        </w:rPr>
        <w:t>提交</w:t>
      </w:r>
      <w:r>
        <w:rPr>
          <w:rFonts w:hint="eastAsia" w:ascii="宋体" w:hAnsi="宋体"/>
          <w:color w:val="auto"/>
          <w:szCs w:val="21"/>
          <w:highlight w:val="none"/>
        </w:rPr>
        <w:t>截止时间至竞争性谈判文件中规定的谈判有效期满之间的这段时间内，供应商不得撤回其谈判</w:t>
      </w:r>
      <w:r>
        <w:rPr>
          <w:rFonts w:ascii="宋体" w:hAnsi="宋体"/>
          <w:color w:val="auto"/>
          <w:szCs w:val="21"/>
          <w:highlight w:val="none"/>
        </w:rPr>
        <w:t>响应</w:t>
      </w:r>
      <w:r>
        <w:rPr>
          <w:rFonts w:hint="eastAsia" w:ascii="宋体" w:hAnsi="宋体"/>
          <w:color w:val="auto"/>
          <w:szCs w:val="21"/>
          <w:highlight w:val="none"/>
        </w:rPr>
        <w:t>，否则其谈判保证金将不予退还。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15.谈判仪式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rPr>
        <w:t>谈判公告</w:t>
      </w:r>
      <w:r>
        <w:rPr>
          <w:rFonts w:ascii="宋体" w:hAnsi="宋体"/>
          <w:color w:val="auto"/>
          <w:szCs w:val="21"/>
          <w:highlight w:val="none"/>
        </w:rPr>
        <w:t>中</w:t>
      </w:r>
      <w:r>
        <w:rPr>
          <w:rFonts w:hint="eastAsia" w:ascii="宋体" w:hAnsi="宋体" w:cs="宋体"/>
          <w:color w:val="auto"/>
          <w:szCs w:val="21"/>
          <w:highlight w:val="none"/>
        </w:rPr>
        <w:t>规定的时间、地点组织谈判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16.谈判小组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16.1谈判开始仪式结束后，代理机构将组织谈判小组进行评审。谈判小组由采购人代表和评审专家组成，且人员构成符合相关规定。谈判小组独立工作，负责评审所有谈判响应文件并确定成交候选人。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16.2谈判小组负责具体的评审事务，并独立履行以下职责：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16.2.1审查、评价谈判响应文件是否符合竞争性谈判文件的商务、技术等实质性要求；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16.2.2要求供应商对谈判响应文件有关事项作出澄清或者说明；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16.2.3对谈判响应文件进行比较和评价；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16.2.6谈判小组决定谈判的响应性只根据谈判响应文件本身的内容，而不寻求外部的证据；</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16.2.7对于谈判响应文件中不构成实质性偏差的不正规、不一致或不规则，谈判小组可以接受，但这种接受不能损坏或影响任何供应商的相对顺序。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16.3谈判小组成员应当履行下列义务：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16.3.2按照竞争性谈判文件规定的评审办法和评分标准进行评审，对评审意见承担个人责任；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000020"/>
        <w:overflowPunct w:val="false"/>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18.对谈判响应文件的审查</w:t>
      </w:r>
    </w:p>
    <w:p>
      <w:pPr>
        <w:pStyle w:val="000020"/>
        <w:overflowPunct w:val="false"/>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谈判响应文件初审分为资格审查和符合性审查。</w:t>
      </w:r>
    </w:p>
    <w:p>
      <w:pPr>
        <w:pStyle w:val="000020"/>
        <w:overflowPunct w:val="false"/>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18.1资格审查：依据法律法规和竞争性谈判文件的规定，对谈判响应文件中的资格证明文件进行审查。</w:t>
      </w:r>
    </w:p>
    <w:p>
      <w:pPr>
        <w:pStyle w:val="000020"/>
        <w:overflowPunct w:val="false"/>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18.2符合性审查：依据竞争性谈判文件的规定，由谈判小组从谈判响应文件的有效性、完整性和对竞争性谈判文件的响应程度进行审查，以确定是否对竞争性谈判文件的实质性要求作出响应。</w:t>
      </w:r>
    </w:p>
    <w:p>
      <w:pPr>
        <w:pStyle w:val="000020"/>
        <w:overflowPunct w:val="false"/>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000020"/>
        <w:overflowPunct w:val="false"/>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w:t>
      </w:r>
      <w:r>
        <w:rPr>
          <w:rFonts w:hint="eastAsia" w:hAnsi="宋体" w:cs="宋体"/>
          <w:color w:val="auto"/>
          <w:sz w:val="21"/>
          <w:szCs w:val="21"/>
          <w:highlight w:val="none"/>
        </w:rPr>
        <w:t>供应商不得通过修改或撤销不合要求的偏离或保留而使其谈判响应文件成为实质性响应。</w:t>
      </w:r>
    </w:p>
    <w:p>
      <w:pPr>
        <w:pStyle w:val="000020"/>
        <w:overflowPunct w:val="false"/>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18.3谈判响应文件出现下列情况之一的，将作为无效谈判响应文件处理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.3.1</w:t>
      </w:r>
      <w:r>
        <w:rPr>
          <w:rFonts w:hint="eastAsia" w:ascii="宋体" w:hAnsi="宋体" w:cs="宋体"/>
          <w:color w:val="auto"/>
          <w:szCs w:val="21"/>
          <w:highlight w:val="none"/>
        </w:rPr>
        <w:t>供应商未领购采购文件的或者在名称上和法人地位上与领购文件时情况发生实质性改变的；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未按竞争性谈判文件要求缴纳谈判保证金的；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.3.3</w:t>
      </w:r>
      <w:r>
        <w:rPr>
          <w:rFonts w:hint="eastAsia" w:ascii="宋体" w:hAnsi="宋体" w:cs="宋体"/>
          <w:color w:val="auto"/>
          <w:szCs w:val="21"/>
          <w:highlight w:val="none"/>
        </w:rPr>
        <w:t>谈判响应文件递交时未按规定密封、盖章的，电子光盘或U盘</w:t>
      </w:r>
      <w:r>
        <w:rPr>
          <w:rFonts w:ascii="宋体" w:hAnsi="宋体" w:cs="宋体"/>
          <w:color w:val="auto"/>
          <w:szCs w:val="21"/>
          <w:highlight w:val="none"/>
        </w:rPr>
        <w:t>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18.3.4供应商被列入失信被执行人、重大税收违法案件当事人名单(即重大税收违法失信主体)、政府采购严重违法失信行为记录名单的。（查询渠道“信用中国 ”网站（www.creditchina.gov.cn）、“中国政府采购网”网站（www.ccgp.gov.cn）网站的相关主体信用记录）；</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.3.5</w:t>
      </w:r>
      <w:r>
        <w:rPr>
          <w:rFonts w:hint="eastAsia" w:ascii="宋体" w:hAnsi="宋体" w:cs="宋体"/>
          <w:color w:val="auto"/>
          <w:szCs w:val="21"/>
          <w:highlight w:val="none"/>
        </w:rPr>
        <w:t>谈判响应文件未按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.3.7</w:t>
      </w:r>
      <w:r>
        <w:rPr>
          <w:rFonts w:hint="eastAsia" w:ascii="宋体" w:hAnsi="宋体" w:cs="宋体"/>
          <w:color w:val="auto"/>
          <w:szCs w:val="21"/>
          <w:highlight w:val="none"/>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.3.8</w:t>
      </w:r>
      <w:r>
        <w:rPr>
          <w:rFonts w:hint="eastAsia" w:ascii="宋体" w:hAnsi="宋体" w:cs="宋体"/>
          <w:color w:val="auto"/>
          <w:szCs w:val="21"/>
          <w:highlight w:val="none"/>
        </w:rPr>
        <w:t>谈判响应文件材料所述情况和所附相关资料不实的；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.3.9</w:t>
      </w:r>
      <w:r>
        <w:rPr>
          <w:rFonts w:hint="eastAsia" w:ascii="宋体" w:hAnsi="宋体" w:cs="宋体"/>
          <w:color w:val="auto"/>
          <w:szCs w:val="21"/>
          <w:highlight w:val="none"/>
        </w:rPr>
        <w:t>供应商以他人的名义参加谈判、相互串通、以行贿手段谋取成交或者以其他弄虚作假方式参与谈判的。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.3.10</w:t>
      </w:r>
      <w:r>
        <w:rPr>
          <w:rFonts w:hint="eastAsia" w:ascii="宋体" w:hAnsi="宋体" w:cs="宋体"/>
          <w:color w:val="auto"/>
          <w:szCs w:val="21"/>
          <w:highlight w:val="none"/>
        </w:rPr>
        <w:t>供应商在一份谈判响应文件中，对同一谈判项目报有两个或多个报价，且未书面确定以哪个报价为准的；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w:t>
      </w:r>
      <w:r>
        <w:rPr>
          <w:rFonts w:hint="eastAsia" w:ascii="宋体" w:hAnsi="宋体" w:cs="宋体"/>
          <w:color w:val="auto"/>
          <w:szCs w:val="21"/>
          <w:highlight w:val="none"/>
        </w:rPr>
        <w:t>1供应商的谈判报价超出采购预算或者最高限价的；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12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.3.13</w:t>
      </w:r>
      <w:r>
        <w:rPr>
          <w:rFonts w:hint="eastAsia" w:ascii="宋体" w:hAnsi="宋体" w:cs="宋体"/>
          <w:color w:val="auto"/>
          <w:szCs w:val="21"/>
          <w:highlight w:val="none"/>
        </w:rPr>
        <w:t>谈判响应文件含有采购人不能接受的附加条件的；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.3.14</w:t>
      </w:r>
      <w:r>
        <w:rPr>
          <w:rFonts w:hint="eastAsia" w:ascii="宋体" w:hAnsi="宋体" w:cs="宋体"/>
          <w:color w:val="auto"/>
          <w:szCs w:val="21"/>
          <w:highlight w:val="none"/>
        </w:rPr>
        <w:t>竞争性谈判文件明确规定无效的其他情形，或者其他被谈判小组认定无效的情况；</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.3.15</w:t>
      </w:r>
      <w:r>
        <w:rPr>
          <w:rFonts w:hint="eastAsia" w:ascii="宋体" w:hAnsi="宋体" w:cs="宋体"/>
          <w:color w:val="auto"/>
          <w:szCs w:val="21"/>
          <w:highlight w:val="none"/>
        </w:rPr>
        <w:t>不符合法律、法规和竞争性谈判文件规定的其他实质性要求的。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4.1不同供应商的谈判响应文件由同一单位或者个人编制；</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2不同供应商委托同一单位或者个人办理谈判事宜；</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不同供应商的谈判响应文件载明的项目管理成员或者联系人员为同一人；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4不同供应商的谈判响应文件异常一致或者谈判报价呈规律性差异；</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5不同供应商的谈判响应文件相互混装；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6不同供应商的谈判保证金从同一单位或者个人的账户转出。</w:t>
      </w:r>
    </w:p>
    <w:p>
      <w:pPr>
        <w:spacing w:line="360" w:lineRule="exact"/>
        <w:rPr>
          <w:rFonts w:ascii="宋体" w:hAnsi="宋体" w:cs="宋体"/>
          <w:b/>
          <w:color w:val="auto"/>
          <w:kern w:val="0"/>
          <w:szCs w:val="21"/>
          <w:highlight w:val="none"/>
        </w:rPr>
      </w:pPr>
      <w:r>
        <w:rPr>
          <w:rFonts w:hint="eastAsia"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.谈判响应文件的澄清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Arial"/>
          <w:color w:val="auto"/>
          <w:szCs w:val="21"/>
          <w:highlight w:val="none"/>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宋体"/>
          <w:color w:val="auto"/>
          <w:szCs w:val="21"/>
          <w:highlight w:val="none"/>
        </w:rPr>
        <w:t>.1谈判响应文件中报价一览表内容与谈判响应文件中相应内容不一致的，以报价一览表为准；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宋体"/>
          <w:color w:val="auto"/>
          <w:szCs w:val="21"/>
          <w:highlight w:val="none"/>
        </w:rPr>
        <w:t>.2谈判响应文件的大写金额与小写金额不一致的，以大写金额为准；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color w:val="auto"/>
          <w:szCs w:val="21"/>
          <w:highlight w:val="none"/>
        </w:rPr>
        <w:t>存在缺项漏项或者数量不符合竞争性谈判文件要求的作为无效谈判响应文件处理</w:t>
      </w:r>
      <w:r>
        <w:rPr>
          <w:rFonts w:hint="eastAsia" w:ascii="宋体" w:hAnsi="宋体" w:cs="宋体"/>
          <w:color w:val="auto"/>
          <w:szCs w:val="21"/>
          <w:highlight w:val="none"/>
        </w:rPr>
        <w:t>；对不同文字文本谈判响应文件的解释发生异议的，以中文文本为准。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19.5供应商拒不按照谈判小组要求作出澄清、说明或者补正的，作为无效响应处理。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.6</w:t>
      </w:r>
      <w:r>
        <w:rPr>
          <w:rFonts w:hint="eastAsia" w:ascii="宋体" w:hAnsi="宋体" w:cs="宋体"/>
          <w:color w:val="auto"/>
          <w:szCs w:val="21"/>
          <w:highlight w:val="none"/>
        </w:rPr>
        <w:t>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20.</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1因情况变化，不再符合规定的竞争性谈判采购方式适用情形的；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21.评审方法</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2</w:t>
      </w:r>
      <w:r>
        <w:rPr>
          <w:rFonts w:hint="eastAsia" w:ascii="宋体" w:hAnsi="宋体" w:cs="宋体"/>
          <w:color w:val="auto"/>
          <w:szCs w:val="21"/>
          <w:highlight w:val="none"/>
        </w:rPr>
        <w:t>采购人授权谈判小组直接确定成交供应商。</w:t>
      </w:r>
    </w:p>
    <w:p>
      <w:pPr>
        <w:pStyle w:val="000020"/>
        <w:overflowPunct w:val="false"/>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22.</w:t>
      </w:r>
      <w:r>
        <w:rPr>
          <w:rStyle w:val="000036"/>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000020"/>
        <w:overflowPunct w:val="false"/>
        <w:spacing w:line="360" w:lineRule="exact"/>
        <w:ind w:firstLineChars="200"/>
        <w:rPr>
          <w:rFonts w:hAnsi="宋体"/>
          <w:color w:val="auto"/>
          <w:sz w:val="21"/>
          <w:szCs w:val="21"/>
          <w:highlight w:val="none"/>
        </w:rPr>
      </w:pPr>
      <w:r>
        <w:rPr>
          <w:rFonts w:hint="eastAsia" w:hAnsi="宋体" w:cs="宋体"/>
          <w:color w:val="auto"/>
          <w:sz w:val="21"/>
          <w:szCs w:val="21"/>
          <w:highlight w:val="none"/>
        </w:rPr>
        <w:t>22.1</w:t>
      </w:r>
      <w:r>
        <w:rPr>
          <w:rFonts w:hint="eastAsia" w:hAnsi="宋体"/>
          <w:color w:val="auto"/>
          <w:sz w:val="21"/>
          <w:szCs w:val="21"/>
          <w:highlight w:val="none"/>
        </w:rPr>
        <w:t>代理机构自成交供应商确定之日起2个工作日内，在江苏尚阳工程管理有限公司网站上公告成交结果，成交通知书将同时发出，成交公告期限为1个工作日。</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若有充分证据证明，成交供应商出现下列情况之一的，一经查实，将被取消成交资格：</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.1提供虚假材料谋取成交的；</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2向采购人、代理机构行贿或者提供其他不正当利益的。</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.3恶意竞争，谈判总报价明显低于其自身合理成本且又无法提供证明的。</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.4属于本文件规定的无效条件，但在评审过程中又未被谈判小组发现的。</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.5与采购人或者其他供应商恶意串通的。</w:t>
      </w:r>
    </w:p>
    <w:p>
      <w:pPr>
        <w:snapToGrid w:val="false"/>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.6采取不正当手段诋毁、排挤其他供应商的。</w:t>
      </w:r>
    </w:p>
    <w:p>
      <w:pPr>
        <w:pStyle w:val="000020"/>
        <w:overflowPunct w:val="false"/>
        <w:spacing w:line="360" w:lineRule="exact"/>
        <w:ind w:firstLineChars="200"/>
        <w:rPr>
          <w:rFonts w:hAnsi="宋体" w:cs="宋体"/>
          <w:color w:val="auto"/>
          <w:sz w:val="21"/>
          <w:szCs w:val="21"/>
          <w:highlight w:val="none"/>
        </w:rPr>
      </w:pPr>
      <w:r>
        <w:rPr>
          <w:rFonts w:hint="eastAsia" w:hAnsi="宋体"/>
          <w:color w:val="auto"/>
          <w:sz w:val="21"/>
          <w:szCs w:val="21"/>
          <w:highlight w:val="none"/>
        </w:rPr>
        <w:t>22</w:t>
      </w:r>
      <w:r>
        <w:rPr>
          <w:rFonts w:hAnsi="宋体"/>
          <w:color w:val="auto"/>
          <w:sz w:val="21"/>
          <w:szCs w:val="21"/>
          <w:highlight w:val="none"/>
        </w:rPr>
        <w:t>.2</w:t>
      </w:r>
      <w:r>
        <w:rPr>
          <w:rFonts w:hint="eastAsia" w:hAnsi="宋体"/>
          <w:color w:val="auto"/>
          <w:sz w:val="21"/>
          <w:szCs w:val="21"/>
          <w:highlight w:val="none"/>
        </w:rPr>
        <w:t>.7不符合法律、法规的规定的。</w:t>
      </w:r>
    </w:p>
    <w:p>
      <w:pPr>
        <w:pStyle w:val="000020"/>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22.</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000020"/>
        <w:overflowPunct w:val="false"/>
        <w:spacing w:line="360" w:lineRule="exact"/>
        <w:ind w:firstLineChars="200"/>
        <w:rPr>
          <w:rFonts w:hAnsi="宋体" w:cs="宋体"/>
          <w:color w:val="auto"/>
          <w:sz w:val="21"/>
          <w:szCs w:val="21"/>
          <w:highlight w:val="none"/>
        </w:rPr>
      </w:pPr>
      <w:r>
        <w:rPr>
          <w:rFonts w:hint="eastAsia"/>
          <w:color w:val="auto"/>
          <w:sz w:val="21"/>
          <w:szCs w:val="21"/>
          <w:highlight w:val="none"/>
        </w:rPr>
        <w:t>未参加谈判活动的供应商或在谈判活动中自身权益未受到损害的供应商所提出的质疑不予受理。</w:t>
      </w:r>
      <w:r>
        <w:rPr>
          <w:rFonts w:hint="eastAsia" w:hAnsi="宋体" w:cs="宋体"/>
          <w:color w:val="auto"/>
          <w:sz w:val="21"/>
          <w:szCs w:val="21"/>
          <w:highlight w:val="none"/>
        </w:rPr>
        <w:t>如有参加谈判的供应商提出有效质疑，并因此可能对成交结果产生影响，而最终被取消成交资格的，代理机构对成交供应商不承担任何责任。</w:t>
      </w:r>
    </w:p>
    <w:p>
      <w:pPr>
        <w:pStyle w:val="000020"/>
        <w:overflowPunct w:val="false"/>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23.成交通知书</w:t>
      </w:r>
    </w:p>
    <w:p>
      <w:pPr>
        <w:pStyle w:val="000020"/>
        <w:overflowPunct w:val="false"/>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000020"/>
        <w:overflowPunct w:val="false"/>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000020"/>
        <w:overflowPunct w:val="false"/>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24.代理机构服务费</w:t>
      </w:r>
    </w:p>
    <w:p>
      <w:pPr>
        <w:pStyle w:val="000020"/>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lang w:val="en-US" w:eastAsia="zh-CN"/>
        </w:rPr>
        <w:t>24.1</w:t>
      </w:r>
      <w:r>
        <w:rPr>
          <w:rFonts w:hint="eastAsia" w:hAnsi="宋体" w:cs="宋体"/>
          <w:color w:val="auto"/>
          <w:sz w:val="21"/>
          <w:szCs w:val="21"/>
          <w:highlight w:val="none"/>
        </w:rPr>
        <w:t>将成交服务费付至采购代理机构收取谈判保证金的账户。</w:t>
      </w:r>
    </w:p>
    <w:p>
      <w:pPr>
        <w:pStyle w:val="000020"/>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代理服务收费标准</w:t>
      </w:r>
    </w:p>
    <w:p>
      <w:pPr>
        <w:pStyle w:val="000020"/>
        <w:overflowPunct w:val="false"/>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由</w:t>
      </w:r>
      <w:r>
        <w:rPr>
          <w:rFonts w:hint="eastAsia" w:hAnsi="宋体" w:cs="宋体"/>
          <w:color w:val="auto"/>
          <w:sz w:val="21"/>
          <w:szCs w:val="21"/>
          <w:highlight w:val="none"/>
          <w:lang w:val="en-US" w:eastAsia="zh-CN"/>
        </w:rPr>
        <w:t>成交供应商</w:t>
      </w:r>
      <w:r>
        <w:rPr>
          <w:rFonts w:hint="eastAsia" w:hAnsi="宋体" w:cs="宋体"/>
          <w:color w:val="auto"/>
          <w:sz w:val="21"/>
          <w:szCs w:val="21"/>
          <w:highlight w:val="none"/>
        </w:rPr>
        <w:t>支付，其中10万元（不含）以下项目，固定收取1000元；10万元（含）至20万元（不含）项目，固定收取1500元；20万元（含）至30万元（不含）项目，固定收取2000元。</w:t>
      </w:r>
    </w:p>
    <w:p>
      <w:pPr>
        <w:pStyle w:val="000020"/>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24.3专家评审费由常州市公安局</w:t>
      </w:r>
      <w:r>
        <w:rPr>
          <w:rFonts w:hint="eastAsia" w:hAnsi="宋体" w:cs="宋体"/>
          <w:color w:val="auto"/>
          <w:sz w:val="21"/>
          <w:szCs w:val="21"/>
          <w:highlight w:val="none"/>
          <w:lang/>
        </w:rPr>
        <w:t>支</w:t>
      </w:r>
      <w:r>
        <w:rPr>
          <w:rFonts w:hint="eastAsia" w:hAnsi="宋体" w:cs="宋体"/>
          <w:color w:val="auto"/>
          <w:sz w:val="21"/>
          <w:szCs w:val="21"/>
          <w:highlight w:val="none"/>
        </w:rPr>
        <w:t>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25</w:t>
      </w:r>
      <w:r>
        <w:rPr>
          <w:rFonts w:ascii="宋体" w:hAnsi="宋体" w:cs="宋体"/>
          <w:b/>
          <w:color w:val="auto"/>
          <w:szCs w:val="21"/>
          <w:highlight w:val="none"/>
        </w:rPr>
        <w:t>.</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25.2竞争性谈判文件、成交供应商的谈判响应文件及采购过程中有关澄清、承诺文件均应作为合同附件。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25.4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ascii="宋体" w:hAnsi="宋体" w:cs="宋体"/>
          <w:b/>
          <w:color w:val="auto"/>
          <w:szCs w:val="21"/>
          <w:highlight w:val="none"/>
        </w:rPr>
      </w:pPr>
      <w:r>
        <w:rPr>
          <w:rFonts w:hint="eastAsia" w:ascii="宋体" w:hAnsi="宋体" w:cs="宋体"/>
          <w:b/>
          <w:color w:val="auto"/>
          <w:szCs w:val="21"/>
          <w:highlight w:val="none"/>
        </w:rPr>
        <w:t>26.保密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参与采购活动的当事人应对采购文件和谈判响应文件中的商业秘密保密，违者应对由此造成的后果承担法律责任。</w:t>
      </w:r>
    </w:p>
    <w:p>
      <w:pPr>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第二章  谈判响应文件的组成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证明供应商符合资格要求的证明材料包括但不限于以下材料（谈判响应文件中提供并</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1.谈判响应函（原件）</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法人或者其他组织的营业执照等证明文件（复印件）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（原件）</w:t>
      </w:r>
      <w:r>
        <w:rPr>
          <w:rFonts w:hint="eastAsia" w:ascii="宋体" w:hAnsi="宋体"/>
          <w:color w:val="auto"/>
          <w:szCs w:val="21"/>
          <w:highlight w:val="none"/>
        </w:rPr>
        <w:t>、</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.授权委托书（原件）、代理人身份证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、近三个月（自谈判截止之日</w:t>
      </w:r>
      <w:r>
        <w:rPr>
          <w:rFonts w:hint="eastAsia" w:ascii="宋体" w:hAnsi="宋体" w:eastAsia="宋体" w:cs="宋体"/>
          <w:color w:val="auto"/>
          <w:szCs w:val="21"/>
          <w:highlight w:val="none"/>
        </w:rPr>
        <w:t>起往前推算）供应商为代理人缴纳的社保证明（复印件）（如果有授权委托情况的，必须提供）</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谈判保证金单据（复印件）</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2.谈判分项报价表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w:t>
      </w:r>
      <w:r>
        <w:rPr>
          <w:rFonts w:hint="eastAsia" w:ascii="宋体" w:hAnsi="宋体" w:cs="宋体"/>
          <w:color w:val="auto"/>
          <w:szCs w:val="21"/>
          <w:highlight w:val="none"/>
          <w:lang w:eastAsia="zh-CN"/>
        </w:rPr>
        <w:t>★</w:t>
      </w:r>
      <w:r>
        <w:rPr>
          <w:rFonts w:hint="eastAsia" w:ascii="宋体" w:hAnsi="宋体" w:cs="宋体"/>
          <w:color w:val="auto"/>
          <w:szCs w:val="21"/>
          <w:highlight w:val="none"/>
        </w:rPr>
        <w:t>”条款供应商必须在谈判响应文件中提供，否则将作为无效响应处理。</w:t>
      </w:r>
      <w:r>
        <w:rPr>
          <w:rFonts w:hint="eastAsia" w:ascii="宋体" w:hAnsi="宋体"/>
          <w:b/>
          <w:bCs/>
          <w:color w:val="auto"/>
          <w:szCs w:val="21"/>
          <w:highlight w:val="none"/>
        </w:rPr>
        <w:t>所有项目若有缺失或无效将可能导致响应无效且不允许在谈判响应文件递交截止时间后补正。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2.对采购人明确自拟的格式，供应商可根据自身情况进行补充和修改，但补充和修改不得造成与竞争性谈判文件内容有实质性的违背。供应商可提供其它相关的证明材料（不限于此）。否则将作为无效响应处理。</w:t>
      </w:r>
    </w:p>
    <w:p>
      <w:pPr>
        <w:pStyle w:val="000027"/>
        <w:rPr>
          <w:color w:val="auto"/>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60" w:lineRule="exact"/>
        <w:rPr>
          <w:rFonts w:hint="default"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rPr>
        <w:t>一、</w:t>
      </w:r>
      <w:r>
        <w:rPr>
          <w:rFonts w:hint="eastAsia" w:asciiTheme="majorEastAsia" w:hAnsiTheme="majorEastAsia" w:eastAsiaTheme="majorEastAsia" w:cstheme="majorEastAsia"/>
          <w:b/>
          <w:color w:val="auto"/>
          <w:szCs w:val="21"/>
          <w:highlight w:val="none"/>
          <w:lang w:val="en-US" w:eastAsia="zh-CN"/>
        </w:rPr>
        <w:t>采购内容</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本项目是</w:t>
      </w:r>
      <w:r>
        <w:rPr>
          <w:rFonts w:hint="eastAsia" w:cs="宋体" w:asciiTheme="minorEastAsia" w:hAnsiTheme="minorEastAsia" w:eastAsiaTheme="minorEastAsia"/>
          <w:color w:val="auto"/>
          <w:szCs w:val="21"/>
          <w:highlight w:val="none"/>
          <w:lang w:eastAsia="zh-CN"/>
        </w:rPr>
        <w:t>2025年度常州市公安局无人机及配套装备采购项目</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为进一步加强我市公安机关警用无人机建设，提升无人机硬件装备水平，促进各地实战部门能力建设，拟采购一批无人机及配套装备。</w:t>
      </w:r>
    </w:p>
    <w:p>
      <w:pPr>
        <w:keepNext w:val="false"/>
        <w:keepLines w:val="false"/>
        <w:pageBreakBefore w:val="false"/>
        <w:kinsoku/>
        <w:wordWrap/>
        <w:overflowPunct/>
        <w:topLinePunct w:val="false"/>
        <w:bidi w:val="false"/>
        <w:adjustRightInd w:val="false"/>
        <w:snapToGrid w:val="false"/>
        <w:spacing w:line="360" w:lineRule="exact"/>
        <w:textAlignment w:val="auto"/>
        <w:rPr>
          <w:rFonts w:hint="default"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二、技术要求</w:t>
      </w:r>
    </w:p>
    <w:tbl>
      <w:tblPr>
        <w:tblStyle w:val="00002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03"/>
        <w:gridCol w:w="3206"/>
        <w:gridCol w:w="1333"/>
        <w:gridCol w:w="2777"/>
      </w:tblGrid>
      <w:tr>
        <w:trPr>
          <w:trHeight w:val="241" w:hRule="atLeast"/>
          <w:jc w:val="center"/>
        </w:trPr>
        <w:tc>
          <w:tcPr>
            <w:tcW w:w="1203" w:type="dxa"/>
            <w:vAlign w:val="center"/>
          </w:tcPr>
          <w:p>
            <w:pPr>
              <w:widowControl/>
              <w:jc w:val="center"/>
              <w:rPr>
                <w:b/>
                <w:bCs/>
                <w:color w:val="auto"/>
                <w:sz w:val="21"/>
                <w:szCs w:val="21"/>
                <w:highlight w:val="none"/>
              </w:rPr>
            </w:pPr>
            <w:r>
              <w:rPr>
                <w:b/>
                <w:bCs/>
                <w:color w:val="auto"/>
                <w:sz w:val="21"/>
                <w:szCs w:val="21"/>
                <w:highlight w:val="none"/>
              </w:rPr>
              <w:t>序号</w:t>
            </w:r>
          </w:p>
        </w:tc>
        <w:tc>
          <w:tcPr>
            <w:tcW w:w="3206" w:type="dxa"/>
            <w:vAlign w:val="center"/>
          </w:tcPr>
          <w:p>
            <w:pPr>
              <w:widowControl/>
              <w:jc w:val="center"/>
              <w:rPr>
                <w:b/>
                <w:bCs/>
                <w:color w:val="auto"/>
                <w:sz w:val="21"/>
                <w:szCs w:val="21"/>
                <w:highlight w:val="none"/>
              </w:rPr>
            </w:pPr>
            <w:r>
              <w:rPr>
                <w:b/>
                <w:bCs/>
                <w:color w:val="auto"/>
                <w:sz w:val="21"/>
                <w:szCs w:val="21"/>
                <w:highlight w:val="none"/>
              </w:rPr>
              <w:t>设备名称</w:t>
            </w:r>
          </w:p>
        </w:tc>
        <w:tc>
          <w:tcPr>
            <w:tcW w:w="1333" w:type="dxa"/>
            <w:vAlign w:val="center"/>
          </w:tcPr>
          <w:p>
            <w:pPr>
              <w:widowControl/>
              <w:jc w:val="center"/>
              <w:rPr>
                <w:b/>
                <w:bCs/>
                <w:color w:val="auto"/>
                <w:sz w:val="21"/>
                <w:szCs w:val="21"/>
                <w:highlight w:val="none"/>
              </w:rPr>
            </w:pPr>
            <w:r>
              <w:rPr>
                <w:b/>
                <w:bCs/>
                <w:color w:val="auto"/>
                <w:sz w:val="21"/>
                <w:szCs w:val="21"/>
                <w:highlight w:val="none"/>
              </w:rPr>
              <w:t>数量</w:t>
            </w:r>
            <w:r>
              <w:rPr>
                <w:rFonts w:hint="eastAsia"/>
                <w:b/>
                <w:bCs/>
                <w:color w:val="auto"/>
                <w:sz w:val="21"/>
                <w:szCs w:val="21"/>
                <w:highlight w:val="none"/>
              </w:rPr>
              <w:t>（套）</w:t>
            </w:r>
          </w:p>
        </w:tc>
        <w:tc>
          <w:tcPr>
            <w:tcW w:w="2777" w:type="dxa"/>
            <w:vAlign w:val="center"/>
          </w:tcPr>
          <w:p>
            <w:pPr>
              <w:widowControl/>
              <w:jc w:val="center"/>
              <w:rPr>
                <w:b/>
                <w:bCs/>
                <w:color w:val="auto"/>
                <w:sz w:val="21"/>
                <w:szCs w:val="21"/>
                <w:highlight w:val="none"/>
              </w:rPr>
            </w:pPr>
            <w:r>
              <w:rPr>
                <w:rFonts w:hint="eastAsia"/>
                <w:b/>
                <w:bCs/>
                <w:color w:val="auto"/>
                <w:sz w:val="21"/>
                <w:szCs w:val="21"/>
                <w:highlight w:val="none"/>
              </w:rPr>
              <w:t>配置要求</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消费级航拍无人机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详见技术要求1</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2</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行业级旗舰多光无人机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详见技术要求2</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3</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行业级便携多光无人机</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2</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详见技术要求3</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4</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多功能RTK基站</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详见技术要求4</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5</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无线高清图传收发套装</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详见技术要求5</w:t>
            </w:r>
          </w:p>
        </w:tc>
      </w:tr>
      <w:tr>
        <w:trPr>
          <w:trHeight w:val="194" w:hRule="atLeast"/>
          <w:jc w:val="center"/>
        </w:trPr>
        <w:tc>
          <w:tcPr>
            <w:tcW w:w="120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6</w:t>
            </w:r>
          </w:p>
        </w:tc>
        <w:tc>
          <w:tcPr>
            <w:tcW w:w="3206"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无人机激光映射模组</w:t>
            </w:r>
          </w:p>
        </w:tc>
        <w:tc>
          <w:tcPr>
            <w:tcW w:w="1333"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777" w:type="dxa"/>
            <w:vAlign w:val="center"/>
          </w:tcPr>
          <w:p>
            <w:pPr>
              <w:widowControl/>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详见技术要求6</w:t>
            </w:r>
          </w:p>
        </w:tc>
      </w:tr>
    </w:tbl>
    <w:p>
      <w:pPr>
        <w:keepNext w:val="false"/>
        <w:keepLines w:val="false"/>
        <w:pageBreakBefore w:val="false"/>
        <w:widowControl w:val="false"/>
        <w:tabs>
          <w:tab w:val="right" w:pos="7826"/>
        </w:tabs>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lang w:eastAsia="zh-CN"/>
        </w:rPr>
      </w:pPr>
      <w:r>
        <w:rPr>
          <w:rFonts w:hint="eastAsia" w:asciiTheme="majorEastAsia" w:hAnsiTheme="majorEastAsia" w:eastAsiaTheme="majorEastAsia" w:cstheme="majorEastAsia"/>
          <w:b/>
          <w:bCs/>
          <w:color w:val="auto"/>
          <w:sz w:val="21"/>
          <w:szCs w:val="21"/>
          <w:highlight w:val="none"/>
        </w:rPr>
        <w:t>★</w:t>
      </w:r>
      <w:r>
        <w:rPr>
          <w:rFonts w:hint="eastAsia" w:asciiTheme="majorEastAsia" w:hAnsiTheme="majorEastAsia" w:eastAsiaTheme="majorEastAsia" w:cstheme="majorEastAsia"/>
          <w:b/>
          <w:bCs/>
          <w:color w:val="auto"/>
          <w:sz w:val="21"/>
          <w:szCs w:val="21"/>
          <w:highlight w:val="none"/>
          <w:lang w:val="en-US" w:eastAsia="zh-CN"/>
        </w:rPr>
        <w:t>下列1-6，</w:t>
      </w:r>
      <w:r>
        <w:rPr>
          <w:rFonts w:hint="eastAsia" w:asciiTheme="majorEastAsia" w:hAnsiTheme="majorEastAsia" w:eastAsiaTheme="majorEastAsia" w:cstheme="majorEastAsia"/>
          <w:b/>
          <w:bCs/>
          <w:color w:val="auto"/>
          <w:sz w:val="21"/>
          <w:szCs w:val="21"/>
          <w:highlight w:val="none"/>
        </w:rPr>
        <w:t>参数如偏离视为无效响应，提供偏离表（详见附件）证明。</w:t>
      </w:r>
      <w:r>
        <w:rPr>
          <w:rFonts w:hint="eastAsia" w:asciiTheme="majorEastAsia" w:hAnsiTheme="majorEastAsia" w:eastAsiaTheme="majorEastAsia" w:cstheme="majorEastAsia"/>
          <w:b/>
          <w:bCs/>
          <w:color w:val="auto"/>
          <w:sz w:val="21"/>
          <w:szCs w:val="21"/>
          <w:highlight w:val="none"/>
          <w:lang w:eastAsia="zh-CN"/>
        </w:rPr>
        <w:tab/>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1.</w:t>
      </w:r>
      <w:r>
        <w:rPr>
          <w:rFonts w:hint="eastAsia" w:asciiTheme="majorEastAsia" w:hAnsiTheme="majorEastAsia" w:eastAsiaTheme="majorEastAsia" w:cstheme="majorEastAsia"/>
          <w:b/>
          <w:bCs/>
          <w:color w:val="auto"/>
          <w:sz w:val="21"/>
          <w:szCs w:val="21"/>
          <w:highlight w:val="none"/>
        </w:rPr>
        <w:t>消费级航拍无人机技术要求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此项内容为：消费级航拍无人机1套，具体内容及要求如下：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至少包含：消费级航拍无人机飞行器1架、适配的遥控器1台、适配的智能飞行电池3块、适配的充电管家（含充电器）1套、适配无人机云台相机的滤镜1套、收纳用单肩包1只、收纳用双肩包1只、适配的飞行器桨叶3对（1正1反为1对）、快充线1根（双TypeC口）、遥控转接线2根（TypeC转接线、Lighting转接线各1根）、适配的云台保护罩1只。</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飞行器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1、展开后尺寸：≤270mm*330mm*110mm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2、折叠收纳后尺寸：≤220mm*110mm*90mm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3、最大上升/下降速度：≥10米/秒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4、无风状态最大水平飞行速度：≥15米/秒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5、无风状态最大飞行/悬停时间：≥40分钟</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6、最大抗风速度：≥10米/秒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7、至少可以在零摄氏度以下、三十摄氏度以上环境中正常工作</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8、机载内存：≥40GB</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9、避障系统：具备至少5个方向的避障感知能力、1个方向的激光雷达感知能力，各方向有效测距范围不小于0.5米至5米</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10、广角相机有效像素：≥5000万，视角：≥80°，COMS图像传感器：≥1英寸</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11、变焦相机有效像素：≥4500万，视角：≥30°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12、拍摄照片原图分辨率不低于：8000*6000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13、拍摄录像规格不低于：4K/60fps，码率不低于：100Mbps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14、云台支持至少三个方向的可控转动</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15、图传：与遥控器的实时图传画面质量不低于1080p/30fps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16、至少支持蓝牙5.0通讯协议</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遥控器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2"/>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续航时间：≥3小时</w:t>
            </w:r>
          </w:p>
          <w:p>
            <w:pPr>
              <w:keepNext w:val="false"/>
              <w:keepLines w:val="false"/>
              <w:pageBreakBefore w:val="false"/>
              <w:widowControl w:val="false"/>
              <w:numPr>
                <w:ilvl w:val="0"/>
                <w:numId w:val="2"/>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可支持的夹持移动设备的尺寸：≥180mm*80mm*10mm</w:t>
            </w:r>
          </w:p>
          <w:p>
            <w:pPr>
              <w:keepNext w:val="false"/>
              <w:keepLines w:val="false"/>
              <w:pageBreakBefore w:val="false"/>
              <w:widowControl w:val="false"/>
              <w:numPr>
                <w:ilvl w:val="0"/>
                <w:numId w:val="2"/>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充电时间：≤2小时</w:t>
            </w:r>
          </w:p>
          <w:p>
            <w:pPr>
              <w:keepNext w:val="false"/>
              <w:keepLines w:val="false"/>
              <w:pageBreakBefore w:val="false"/>
              <w:widowControl w:val="false"/>
              <w:numPr>
                <w:ilvl w:val="0"/>
                <w:numId w:val="2"/>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图传发射频率：2.4GHz、5.8GHz</w:t>
            </w:r>
          </w:p>
          <w:p>
            <w:pPr>
              <w:keepNext w:val="false"/>
              <w:keepLines w:val="false"/>
              <w:pageBreakBefore w:val="false"/>
              <w:widowControl w:val="false"/>
              <w:numPr>
                <w:ilvl w:val="0"/>
                <w:numId w:val="2"/>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重量：≤350g</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电池</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容量：≥4200毫安时</w:t>
            </w:r>
          </w:p>
          <w:p>
            <w:pPr>
              <w:keepNext w:val="false"/>
              <w:keepLines w:val="false"/>
              <w:pageBreakBefore w:val="false"/>
              <w:widowControl w:val="false"/>
              <w:numPr>
                <w:ilvl w:val="0"/>
                <w:numId w:val="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重量：≤250g</w:t>
            </w:r>
          </w:p>
          <w:p>
            <w:pPr>
              <w:keepNext w:val="false"/>
              <w:keepLines w:val="false"/>
              <w:pageBreakBefore w:val="false"/>
              <w:widowControl w:val="false"/>
              <w:numPr>
                <w:ilvl w:val="0"/>
                <w:numId w:val="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充电耗时：≤90分钟</w:t>
            </w:r>
          </w:p>
        </w:tc>
      </w:tr>
      <w:tr>
        <w:trPr>
          <w:trHeight w:val="155" w:hRule="atLeast"/>
          <w:jc w:val="center"/>
        </w:trPr>
        <w:tc>
          <w:tcPr>
            <w:tcW w:w="1304" w:type="dxa"/>
            <w:tcBorders>
              <w:top w:val="single" w:color="000000" w:sz="4" w:space="0"/>
              <w:left w:val="single" w:color="000000" w:sz="4" w:space="0"/>
              <w:bottom w:val="single" w:color="auto"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充电管家（含充电器）</w:t>
            </w:r>
          </w:p>
        </w:tc>
        <w:tc>
          <w:tcPr>
            <w:tcW w:w="7076" w:type="dxa"/>
            <w:tcBorders>
              <w:top w:val="single" w:color="000000" w:sz="4" w:space="0"/>
              <w:left w:val="nil"/>
              <w:bottom w:val="single" w:color="auto" w:sz="4" w:space="0"/>
              <w:right w:val="single" w:color="000000" w:sz="4" w:space="0"/>
            </w:tcBorders>
            <w:vAlign w:val="center"/>
          </w:tcPr>
          <w:p>
            <w:pPr>
              <w:keepNext w:val="false"/>
              <w:keepLines w:val="false"/>
              <w:pageBreakBefore w:val="false"/>
              <w:widowControl w:val="false"/>
              <w:numPr>
                <w:ilvl w:val="0"/>
                <w:numId w:val="4"/>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最大输出功率合计：≥100W</w:t>
            </w:r>
          </w:p>
          <w:p>
            <w:pPr>
              <w:keepNext w:val="false"/>
              <w:keepLines w:val="false"/>
              <w:pageBreakBefore w:val="false"/>
              <w:widowControl w:val="false"/>
              <w:numPr>
                <w:ilvl w:val="0"/>
                <w:numId w:val="4"/>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支持至少3块电池轮流充电</w:t>
            </w:r>
          </w:p>
        </w:tc>
      </w:tr>
      <w:tr>
        <w:trPr>
          <w:trHeight w:val="155" w:hRule="atLeast"/>
          <w:jc w:val="center"/>
        </w:trPr>
        <w:tc>
          <w:tcPr>
            <w:tcW w:w="1304" w:type="dxa"/>
            <w:tcBorders>
              <w:top w:val="single" w:color="000000" w:sz="4" w:space="0"/>
              <w:left w:val="single" w:color="000000" w:sz="4" w:space="0"/>
              <w:bottom w:val="single" w:color="auto"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000000" w:sz="4" w:space="0"/>
              <w:left w:val="nil"/>
              <w:bottom w:val="single" w:color="auto"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与飞行器同品牌（套装内）或经飞行器同品牌官方认证、在官方商城售卖的配件。</w:t>
            </w:r>
          </w:p>
        </w:tc>
      </w:tr>
      <w:tr>
        <w:trPr>
          <w:trHeight w:val="155" w:hRule="atLeast"/>
          <w:jc w:val="center"/>
        </w:trPr>
        <w:tc>
          <w:tcPr>
            <w:tcW w:w="1304" w:type="dxa"/>
            <w:vMerge w:val="restart"/>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vMerge w:val="continue"/>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在本项目合同履行期限内，提供无人机的第三方责任险服务，不计免赔，额度不低于100万元。</w:t>
            </w:r>
          </w:p>
        </w:tc>
      </w:tr>
      <w:tr>
        <w:trPr>
          <w:trHeight w:val="155" w:hRule="atLeast"/>
          <w:jc w:val="center"/>
        </w:trPr>
        <w:tc>
          <w:tcPr>
            <w:tcW w:w="1304"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2.</w:t>
      </w:r>
      <w:r>
        <w:rPr>
          <w:rFonts w:hint="eastAsia" w:asciiTheme="majorEastAsia" w:hAnsiTheme="majorEastAsia" w:eastAsiaTheme="majorEastAsia" w:cstheme="majorEastAsia"/>
          <w:b/>
          <w:bCs/>
          <w:color w:val="auto"/>
          <w:sz w:val="21"/>
          <w:szCs w:val="21"/>
          <w:highlight w:val="none"/>
        </w:rPr>
        <w:t>行业级旗舰多光无人机技术要求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此项内容为：行业级旗舰多光无人机1套，具体内容及要求如下：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至少包含：行业级旗舰多光无人机飞行器1架、适配的行业版遥控器1台、适配的智能飞行电池3块、适配的充电管家（含充电器）1套、MircoSD储存卡1张、适配的飞行器桨叶3对（1正1反为1对）、数据线2根（TypeC-C、TypeA-C各1根）、适配的云台保护罩1只、收纳用安全箱1只（配肩带）、喊话器1套、探照灯1套、增强图传模块1套（包含流量卡）、便携云台相机2套</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飞行器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1、展开后尺寸：≤310mm*390mm*150mm</w:t>
            </w:r>
            <w:r>
              <w:rPr>
                <w:rFonts w:hint="eastAsia" w:asciiTheme="majorEastAsia" w:hAnsiTheme="majorEastAsia" w:eastAsiaTheme="majorEastAsia" w:cstheme="majorEastAsia"/>
                <w:color w:val="auto"/>
                <w:sz w:val="21"/>
                <w:szCs w:val="21"/>
                <w:highlight w:val="none"/>
              </w:rPr>
              <w:br w:type="textWrapping"/>
            </w:r>
            <w:r>
              <w:rPr>
                <w:rFonts w:hint="eastAsia" w:asciiTheme="majorEastAsia" w:hAnsiTheme="majorEastAsia" w:eastAsiaTheme="majorEastAsia" w:cstheme="majorEastAsia"/>
                <w:color w:val="auto"/>
                <w:sz w:val="21"/>
                <w:szCs w:val="21"/>
                <w:highlight w:val="none"/>
              </w:rPr>
              <w:t>2、折叠收纳后尺寸：≤270mm*120mm*140mm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3、裸机重量：≤1500g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4、最大上升速度：≥10米/秒，无风状态最大平飞速度：≥15米/秒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5、常规桨叶无风状态最大飞行/悬停时间：≥40分钟</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6、最大抗风速度：≥10米/秒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7、定位系统：支持至少3种导航定位模式，并支持单北斗导航功能</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8、RTK固定解定位精度：≤2cm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9、机身至少具备一个可扩展负载接口</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10、避障系统：具备至少4个方向的避障感知能力，各方向有效测距范围不小于0.5米至10米</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11、广角相机有效像素：≥4800万，变焦相机有效像素：≥4800万，有效视野角度：≥80°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12、最小拍照间隔：≤1秒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13、支持全景拍照模式，合成素材像素：≥1亿</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14、拍摄录像规格不低于：4K/30fps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15、混合变焦：≥110倍</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16、热成像相机分辨率：≥640*480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17、热成像相机支持至少8种以上配色显温模式</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18、热成像相机数字变焦：≥20倍</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19、激光测距模块：最大测距不短于1km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20、激光测距模块：测距误差不超过0.5m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21、图传：实时图传画面质量不低于1080p/30fps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22、支持近红外补光功能</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23、云台支持至少三个方向的可控转动</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遥控器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1、图传：无干扰状态最大信号有效距离不低于10km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2、图传发射频率：2.4GHz、5.8GHz</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3、支持增强图传模块</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4、至少支持蓝牙5.0通讯协议</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5、屏幕尺寸：≥7英寸</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6、屏幕分辨率：≥1920*1080，屏幕帧率：≥60fps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7、屏幕最大亮度：≥1200尼特</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8、支持外置电池替换</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9、内置、外置电池续航时间均不低于3小时</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10、支持HDMI输出</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11、支持PD快充：≥60瓦</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12、支持HDMI输出</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13、内置系统版本不低于Android11</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电池</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5"/>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容量：≥6500毫安时</w:t>
            </w:r>
          </w:p>
          <w:p>
            <w:pPr>
              <w:keepNext w:val="false"/>
              <w:keepLines w:val="false"/>
              <w:pageBreakBefore w:val="false"/>
              <w:widowControl w:val="false"/>
              <w:numPr>
                <w:ilvl w:val="0"/>
                <w:numId w:val="5"/>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有效循环次数：≥200次</w:t>
            </w:r>
          </w:p>
          <w:p>
            <w:pPr>
              <w:keepNext w:val="false"/>
              <w:keepLines w:val="false"/>
              <w:pageBreakBefore w:val="false"/>
              <w:widowControl w:val="false"/>
              <w:numPr>
                <w:ilvl w:val="0"/>
                <w:numId w:val="5"/>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有效放电倍率：≥4C</w:t>
            </w:r>
          </w:p>
          <w:p>
            <w:pPr>
              <w:keepNext w:val="false"/>
              <w:keepLines w:val="false"/>
              <w:pageBreakBefore w:val="false"/>
              <w:widowControl w:val="false"/>
              <w:numPr>
                <w:ilvl w:val="0"/>
                <w:numId w:val="5"/>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重量：≤500g</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充电管家（含充电器）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6"/>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最大输出功率合计：≥100W</w:t>
            </w:r>
          </w:p>
          <w:p>
            <w:pPr>
              <w:keepNext w:val="false"/>
              <w:keepLines w:val="false"/>
              <w:pageBreakBefore w:val="false"/>
              <w:widowControl w:val="false"/>
              <w:numPr>
                <w:ilvl w:val="0"/>
                <w:numId w:val="6"/>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支持至少4块电池轮流充电</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喊话器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重量：≤100g</w:t>
            </w:r>
          </w:p>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1米处最大响度：≥100分贝</w:t>
            </w:r>
          </w:p>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有效广播距离：≥300m</w:t>
            </w:r>
          </w:p>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支持实时喊话、录音喊话、媒体导入喊话、文字转语音喊话等工作模式</w:t>
            </w:r>
          </w:p>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支持无损安装</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探照灯</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1、重量：≤100g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2、100米照度：≥4lux，50米照度：≥15lux</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3、有效照明角度：≥20°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4、100米有效照明面积：≥1000平方米</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5、支持俯仰轴云台调节</w:t>
            </w:r>
          </w:p>
          <w:p>
            <w:pPr>
              <w:keepNext w:val="false"/>
              <w:keepLines w:val="false"/>
              <w:pageBreakBefore w:val="false"/>
              <w:widowControl w:val="false"/>
              <w:numPr>
                <w:ilvl w:val="0"/>
                <w:numId w:val="7"/>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支持常亮、爆闪两种工作模式</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7、可无损安装至飞行器</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增强图传模块</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8"/>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包含三网通流量卡1张，通讯流量不少于300GB/年，并至少保障三年的通讯流量费用</w:t>
            </w:r>
          </w:p>
          <w:p>
            <w:pPr>
              <w:keepNext w:val="false"/>
              <w:keepLines w:val="false"/>
              <w:pageBreakBefore w:val="false"/>
              <w:widowControl w:val="false"/>
              <w:numPr>
                <w:ilvl w:val="0"/>
                <w:numId w:val="8"/>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增强图传模块支持无损安装至飞行器或遥控器</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便携云台相机</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每套至少包含：云台相机主机1件、适配的麦克风1件、适配的防风毛套1件、适配的背夹磁铁1件、适配的续航手柄1件、适配的三脚架1件、适配的增广镜1件、适配的1/4”螺纹手柄1件、适配的收纳包1件、适配的保护壳1件，及其他随包装原厂配件。</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2、主机重量：≤180g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3、至少具备三个方向的云台调节功能</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4、触控屏尺寸：≥2英寸</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5、触控屏分辨率：≥700尼特</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6、影像传感器尺寸：≥1英寸</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7、拍摄录像规格不低于：4K/60fps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8、视频存储最大码流：≥100Mbps</w:t>
            </w:r>
          </w:p>
        </w:tc>
      </w:tr>
      <w:tr>
        <w:trPr>
          <w:trHeight w:val="155" w:hRule="atLeast"/>
          <w:jc w:val="center"/>
        </w:trPr>
        <w:tc>
          <w:tcPr>
            <w:tcW w:w="1304" w:type="dxa"/>
            <w:tcBorders>
              <w:top w:val="single" w:color="000000" w:sz="4" w:space="0"/>
              <w:left w:val="single" w:color="000000" w:sz="4" w:space="0"/>
              <w:bottom w:val="single" w:color="auto"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MircoSD储存卡</w:t>
            </w:r>
          </w:p>
        </w:tc>
        <w:tc>
          <w:tcPr>
            <w:tcW w:w="7076" w:type="dxa"/>
            <w:tcBorders>
              <w:top w:val="single" w:color="000000" w:sz="4" w:space="0"/>
              <w:left w:val="nil"/>
              <w:bottom w:val="single" w:color="auto" w:sz="4" w:space="0"/>
              <w:right w:val="single" w:color="000000" w:sz="4" w:space="0"/>
            </w:tcBorders>
            <w:vAlign w:val="center"/>
          </w:tcPr>
          <w:p>
            <w:pPr>
              <w:keepNext w:val="false"/>
              <w:keepLines w:val="false"/>
              <w:pageBreakBefore w:val="false"/>
              <w:widowControl w:val="false"/>
              <w:numPr>
                <w:ilvl w:val="0"/>
                <w:numId w:val="9"/>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存储卡级别不低于U3/Class10/V30</w:t>
            </w:r>
          </w:p>
          <w:p>
            <w:pPr>
              <w:keepNext w:val="false"/>
              <w:keepLines w:val="false"/>
              <w:pageBreakBefore w:val="false"/>
              <w:widowControl w:val="false"/>
              <w:numPr>
                <w:ilvl w:val="0"/>
                <w:numId w:val="9"/>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存储卡容量：≥64GB</w:t>
            </w:r>
          </w:p>
        </w:tc>
      </w:tr>
      <w:tr>
        <w:trPr>
          <w:trHeight w:val="155" w:hRule="atLeast"/>
          <w:jc w:val="center"/>
        </w:trPr>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与飞行器同品牌（套装内）或经飞行器同品牌官方认证、在官方商城售卖的配件。</w:t>
            </w:r>
          </w:p>
        </w:tc>
      </w:tr>
      <w:tr>
        <w:trPr>
          <w:trHeight w:val="155" w:hRule="atLeast"/>
          <w:jc w:val="center"/>
        </w:trPr>
        <w:tc>
          <w:tcPr>
            <w:tcW w:w="1304" w:type="dxa"/>
            <w:vMerge w:val="restart"/>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vMerge w:val="continue"/>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在本项目合同履行期限内，提供无人机的第三方责任险服务，不计免赔，额度不低于100万元。</w:t>
            </w:r>
          </w:p>
        </w:tc>
      </w:tr>
      <w:tr>
        <w:trPr>
          <w:trHeight w:val="155" w:hRule="atLeast"/>
          <w:jc w:val="center"/>
        </w:trPr>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3.</w:t>
      </w:r>
      <w:r>
        <w:rPr>
          <w:rFonts w:hint="eastAsia" w:asciiTheme="majorEastAsia" w:hAnsiTheme="majorEastAsia" w:eastAsiaTheme="majorEastAsia" w:cstheme="majorEastAsia"/>
          <w:b/>
          <w:bCs/>
          <w:color w:val="auto"/>
          <w:sz w:val="21"/>
          <w:szCs w:val="21"/>
          <w:highlight w:val="none"/>
        </w:rPr>
        <w:t>行业级便携多光无人机技术要求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此项内容为：行业级便携多光无人机2套，各套的内容与技术要求均一致，如下：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各套需至少包含：行业级便携多光无人机飞行器1架、适配的行业版遥控器1台、适配的智能飞行电池1块、适配的充电管家（含充电器）1套、MircoSD储存卡1张、适配的飞行器桨叶3对（1正1反为1对）、数据线2根（TypeC-C、TypeA-C各1根）、适配的云台保护罩1只、收纳用安全箱1只</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飞行器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1、展开后尺寸：≤350mm*290mm*110mm</w:t>
            </w:r>
            <w:r>
              <w:rPr>
                <w:rFonts w:hint="eastAsia" w:asciiTheme="majorEastAsia" w:hAnsiTheme="majorEastAsia" w:eastAsiaTheme="majorEastAsia" w:cstheme="majorEastAsia"/>
                <w:color w:val="auto"/>
                <w:sz w:val="21"/>
                <w:szCs w:val="21"/>
                <w:highlight w:val="none"/>
              </w:rPr>
              <w:br w:type="textWrapping"/>
            </w:r>
            <w:r>
              <w:rPr>
                <w:rFonts w:hint="eastAsia" w:asciiTheme="majorEastAsia" w:hAnsiTheme="majorEastAsia" w:eastAsiaTheme="majorEastAsia" w:cstheme="majorEastAsia"/>
                <w:color w:val="auto"/>
                <w:sz w:val="21"/>
                <w:szCs w:val="21"/>
                <w:highlight w:val="none"/>
              </w:rPr>
              <w:t>2、折叠收纳后尺寸：≤230mm*100mm*100mm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3、裸机重量：≤4kg，最大起飞重量：≤7kg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4、最大上升速度：≥8米/秒，无风状态最大平飞速度：≥15米/秒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5、最大抗风速度：≥10米/秒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6、无风状态最大飞行时间：≥40分钟</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7、定位系统：支持至少3种导航定位模式，并支持单北斗导航功能</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8、广角相机有效像素：≥4800万</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9、支持全景拍照、低光拍照模式</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10、混合变焦：≥50倍</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11、热成像相机：视频分辨率≥640*480</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12、热成像相机支持至少8种以上配色显温模式</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13、热成像相机数字变焦：≥20倍</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14、避障系统：具备至少5个方向的避障感知能力，各方向有效测距范围不小于0.5米至10米</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15、图传：实时图传画面质量不低于1080p/30fps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16、图传：无干扰状态最大信号有效距离不低于5km</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遥控器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1、图传：无干扰状态最大信号有效距离不低于5km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2、图传发射频率：2.4GHz、5.8GHz</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3、至少支持蓝牙5.0通讯协议</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4、屏幕尺寸：≥5英寸</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5、屏幕分辨率：≥1920*1080，屏幕帧率：≥60fps</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6、屏幕最大亮度：≥1000尼特</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7、续航时间：≥3小时</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电池</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10"/>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容量：≥5000毫安时</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充电管家（含充电器）</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1、最大输出功率合计：≥100W</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2、支持至少3块电池轮流充电</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MircoSD储存卡</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numPr>
                <w:ilvl w:val="0"/>
                <w:numId w:val="9"/>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存储卡级别不低于U3/Class10/V30</w:t>
            </w:r>
          </w:p>
          <w:p>
            <w:pPr>
              <w:keepNext w:val="false"/>
              <w:keepLines w:val="false"/>
              <w:pageBreakBefore w:val="false"/>
              <w:widowControl w:val="false"/>
              <w:numPr>
                <w:ilvl w:val="0"/>
                <w:numId w:val="9"/>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存储卡容量：≥64GB</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与飞行器同品牌（套装内）或经飞行器同品牌官方认证、在官方商城售卖的配件。</w:t>
            </w:r>
          </w:p>
        </w:tc>
      </w:tr>
      <w:tr>
        <w:trPr>
          <w:trHeight w:val="155" w:hRule="atLeast"/>
          <w:jc w:val="center"/>
        </w:trPr>
        <w:tc>
          <w:tcPr>
            <w:tcW w:w="1304" w:type="dxa"/>
            <w:vMerge w:val="restart"/>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vMerge w:val="continue"/>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p>
        </w:tc>
        <w:tc>
          <w:tcPr>
            <w:tcW w:w="7076" w:type="dxa"/>
            <w:tcBorders>
              <w:top w:val="single" w:color="auto" w:sz="4" w:space="0"/>
              <w:left w:val="single" w:color="auto" w:sz="4" w:space="0"/>
              <w:bottom w:val="single" w:color="auto" w:sz="4" w:space="0"/>
              <w:right w:val="single" w:color="auto"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在本项目合同履行期限内，提供无人机的第三方责任险服务，不计免赔，额度不低于100万元。</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4.</w:t>
      </w:r>
      <w:r>
        <w:rPr>
          <w:rFonts w:hint="eastAsia" w:asciiTheme="majorEastAsia" w:hAnsiTheme="majorEastAsia" w:eastAsiaTheme="majorEastAsia" w:cstheme="majorEastAsia"/>
          <w:b/>
          <w:bCs/>
          <w:color w:val="auto"/>
          <w:sz w:val="21"/>
          <w:szCs w:val="21"/>
          <w:highlight w:val="none"/>
        </w:rPr>
        <w:t>多功能RTK基站技术要求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此项内容为：多功能RTK基站1套，具体内容及要求如下：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需至少包含：多功能RTK基站1件、备用定向天线4根、A-C数据线1件、适配的自锁式三脚架1件</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多功能RTK基站</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至少支持以下卫星定位模式中的3种：GPS、BDS、GALILEO、GLONASS、QZSS、L-BAND</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最小定位精度：水平方向≤1cm、垂直方向≤3cm</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支持本项目中行业级旗舰多光无人机的图传中继增强</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中继模式：图传发射频率为2.4GHz、5.8GHz</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中继模式：最大有效信号距离：≥5km</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设备功耗：≤20瓦</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内置电池续航：≥4h</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防护性能：不低于IP67</w:t>
            </w:r>
          </w:p>
          <w:p>
            <w:pPr>
              <w:keepNext w:val="false"/>
              <w:keepLines w:val="false"/>
              <w:pageBreakBefore w:val="false"/>
              <w:widowControl w:val="false"/>
              <w:numPr>
                <w:ilvl w:val="0"/>
                <w:numId w:val="11"/>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设备重量：≤3kg</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自锁式三脚架</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12"/>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重量：≤5kg</w:t>
            </w:r>
          </w:p>
          <w:p>
            <w:pPr>
              <w:keepNext w:val="false"/>
              <w:keepLines w:val="false"/>
              <w:pageBreakBefore w:val="false"/>
              <w:widowControl w:val="false"/>
              <w:numPr>
                <w:ilvl w:val="0"/>
                <w:numId w:val="12"/>
              </w:numPr>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展开高度：≥150cm</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与基站同品牌官方认证、在官方商城售卖的配件。</w:t>
            </w:r>
          </w:p>
        </w:tc>
      </w:tr>
      <w:tr>
        <w:trPr>
          <w:trHeight w:val="155" w:hRule="atLeast"/>
          <w:jc w:val="center"/>
        </w:trPr>
        <w:tc>
          <w:tcPr>
            <w:tcW w:w="1304" w:type="dxa"/>
            <w:tcBorders>
              <w:top w:val="single" w:color="000000" w:sz="4" w:space="0"/>
              <w:left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5.</w:t>
      </w:r>
      <w:r>
        <w:rPr>
          <w:rFonts w:hint="eastAsia" w:asciiTheme="majorEastAsia" w:hAnsiTheme="majorEastAsia" w:eastAsiaTheme="majorEastAsia" w:cstheme="majorEastAsia"/>
          <w:b/>
          <w:bCs/>
          <w:color w:val="auto"/>
          <w:sz w:val="21"/>
          <w:szCs w:val="21"/>
          <w:highlight w:val="none"/>
        </w:rPr>
        <w:t>无线高清图传收发套装技术要求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此项内容为：无线高清图传收发套装1套，具体内容及要求如下：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需至少包含：图传发射端1件、图传接收端1件、A-C数据线1件、图传接收端平板支架1件、C-C数据线1件</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图传发射端</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1、重量：≤150g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2、尺寸（不含天线）：≤90mm*70mm*40mm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3、支持HDMI输入</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4、支持USB-C供电及通信</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5、工作频段：2.4GHz、5.8GHz</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6、图传最低延时：≤100毫秒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7、图传最大距离：≥2km</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图传接收端</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1、重量：≤150g</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2、尺寸（不含天线）：≤90mm*70mm*40mm</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3、支持HDMI输出</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4、支持USB-C供电及通信</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5、工作频段：2.4GHz、5.8GHz</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6、图传最低延时：≤100毫秒</w:t>
            </w:r>
          </w:p>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7、图传最大距离：≥2km</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与图传收发套装同品牌官方认证、在官方商城售卖的配件。</w:t>
            </w:r>
          </w:p>
        </w:tc>
      </w:tr>
      <w:tr>
        <w:trPr>
          <w:trHeight w:val="155" w:hRule="atLeast"/>
          <w:jc w:val="center"/>
        </w:trPr>
        <w:tc>
          <w:tcPr>
            <w:tcW w:w="1304" w:type="dxa"/>
            <w:tcBorders>
              <w:top w:val="single" w:color="000000" w:sz="4" w:space="0"/>
              <w:left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6.</w:t>
      </w:r>
      <w:r>
        <w:rPr>
          <w:rFonts w:hint="eastAsia" w:asciiTheme="majorEastAsia" w:hAnsiTheme="majorEastAsia" w:eastAsiaTheme="majorEastAsia" w:cstheme="majorEastAsia"/>
          <w:b/>
          <w:bCs/>
          <w:color w:val="auto"/>
          <w:sz w:val="21"/>
          <w:szCs w:val="21"/>
          <w:highlight w:val="none"/>
        </w:rPr>
        <w:t>无人机激光映射模组技术要求</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8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此项内容为：无人机激光映射模组1套，具体内容及要求如下：</w:t>
      </w:r>
    </w:p>
    <w:tbl>
      <w:tblPr>
        <w:tblStyle w:val="000022"/>
        <w:tblW w:w="0" w:type="auto"/>
        <w:jc w:val="center"/>
        <w:tblLayout w:type="fixed"/>
        <w:tblCellMar>
          <w:top w:w="0" w:type="dxa"/>
          <w:left w:w="108" w:type="dxa"/>
          <w:bottom w:w="0" w:type="dxa"/>
          <w:right w:w="108" w:type="dxa"/>
        </w:tblCellMar>
      </w:tblPr>
      <w:tblGrid>
        <w:gridCol w:w="1304"/>
        <w:gridCol w:w="7076"/>
      </w:tblGrid>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类别</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技术要求内容</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硬件内容</w:t>
            </w: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需至少包含：无人机激光映射模组基座1件、具备指引功能的替换模组1套、具备映射功能的替换模组1套、具备红外补光功能的替换模组1套、具备照明功能的替换模组1套、其他原包装配件</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center"/>
              <w:textAlignment w:val="auto"/>
              <w:rPr>
                <w:rFonts w:hint="eastAsia" w:asciiTheme="majorEastAsia" w:hAnsiTheme="majorEastAsia" w:eastAsiaTheme="majorEastAsia" w:cstheme="majorEastAsia"/>
                <w:color w:val="auto"/>
                <w:sz w:val="21"/>
                <w:szCs w:val="21"/>
                <w:highlight w:val="none"/>
              </w:rPr>
            </w:pPr>
          </w:p>
        </w:tc>
        <w:tc>
          <w:tcPr>
            <w:tcW w:w="7076" w:type="dxa"/>
            <w:tcBorders>
              <w:top w:val="single" w:color="000000" w:sz="4" w:space="0"/>
              <w:left w:val="nil"/>
              <w:bottom w:val="single" w:color="000000" w:sz="4" w:space="0"/>
              <w:right w:val="single" w:color="000000" w:sz="4" w:space="0"/>
            </w:tcBorders>
            <w:vAlign w:val="center"/>
          </w:tcPr>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额定功率≥30W</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供电方式：无人机供电</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控制方式：无人机遥控器控制</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控制距离：与无人机链路一致</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防护等级≥IP54</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AI聚光：支持</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激光最大照射距离≥2000m（点光源）</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标配激光灯头类型：包含但不限于520nm（点）、520nm（映射）、830nm（补光）、LED（照明）</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爆闪灯：标配红蓝爆闪灯</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灯头热替换：支持</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散热方式：被动式</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可同时挂灯头数≥2个</w:t>
            </w:r>
          </w:p>
          <w:p>
            <w:pPr>
              <w:keepNext w:val="false"/>
              <w:keepLines w:val="false"/>
              <w:pageBreakBefore w:val="false"/>
              <w:widowControl w:val="false"/>
              <w:numPr>
                <w:ilvl w:val="0"/>
                <w:numId w:val="13"/>
              </w:numPr>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安装方式：快拆</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其他配件</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与基站同品牌官方认证、在官方商城售卖的配件。</w:t>
            </w:r>
          </w:p>
        </w:tc>
      </w:tr>
      <w:tr>
        <w:trPr>
          <w:trHeight w:val="155" w:hRule="atLeast"/>
          <w:jc w:val="center"/>
        </w:trPr>
        <w:tc>
          <w:tcPr>
            <w:tcW w:w="1304" w:type="dxa"/>
            <w:tcBorders>
              <w:top w:val="single" w:color="000000" w:sz="4" w:space="0"/>
              <w:left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服务</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在本项目合同履行期限内，提供全部硬件设备的免费保养、维修、零配件更换服务。</w:t>
            </w:r>
          </w:p>
        </w:tc>
      </w:tr>
      <w:tr>
        <w:trPr>
          <w:trHeight w:val="155" w:hRule="atLeast"/>
          <w:jc w:val="center"/>
        </w:trPr>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免费维护期</w:t>
            </w:r>
          </w:p>
        </w:tc>
        <w:tc>
          <w:tcPr>
            <w:tcW w:w="7076" w:type="dxa"/>
            <w:tcBorders>
              <w:top w:val="single" w:color="000000" w:sz="4" w:space="0"/>
              <w:left w:val="nil"/>
              <w:bottom w:val="single" w:color="000000" w:sz="4" w:space="0"/>
              <w:right w:val="single" w:color="000000" w:sz="4" w:space="0"/>
            </w:tcBorders>
            <w:shd w:val="clear" w:color="auto" w:fill="auto"/>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项目终验合格之日起三年。</w:t>
            </w:r>
          </w:p>
        </w:tc>
      </w:tr>
    </w:tbl>
    <w:p>
      <w:pPr>
        <w:keepNext w:val="false"/>
        <w:keepLines w:val="false"/>
        <w:pageBreakBefore w:val="false"/>
        <w:widowControl w:val="false"/>
        <w:kinsoku/>
        <w:wordWrap/>
        <w:overflowPunct/>
        <w:topLinePunct w:val="false"/>
        <w:autoSpaceDE/>
        <w:autoSpaceDN/>
        <w:bidi w:val="false"/>
        <w:adjustRightInd/>
        <w:snapToGrid/>
        <w:spacing w:line="360" w:lineRule="exact"/>
        <w:contextualSpacing/>
        <w:textAlignment w:val="auto"/>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rPr>
        <w:t>三、</w:t>
      </w:r>
      <w:r>
        <w:rPr>
          <w:rFonts w:hint="eastAsia" w:asciiTheme="majorEastAsia" w:hAnsiTheme="majorEastAsia" w:eastAsiaTheme="majorEastAsia" w:cstheme="majorEastAsia"/>
          <w:b/>
          <w:bCs/>
          <w:color w:val="auto"/>
          <w:sz w:val="21"/>
          <w:szCs w:val="21"/>
          <w:highlight w:val="none"/>
        </w:rPr>
        <w:t>采购标的对应的中小企业划分标准所属行业一览表</w:t>
      </w:r>
    </w:p>
    <w:tbl>
      <w:tblPr>
        <w:tblStyle w:val="0000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3"/>
        <w:gridCol w:w="4193"/>
        <w:gridCol w:w="3634"/>
      </w:tblGrid>
      <w:tr>
        <w:trPr>
          <w:cantSplit/>
          <w:jc w:val="center"/>
        </w:trPr>
        <w:tc>
          <w:tcPr>
            <w:tcW w:w="6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序号</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采购标的</w:t>
            </w:r>
          </w:p>
        </w:tc>
        <w:tc>
          <w:tcPr>
            <w:tcW w:w="3634"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对应中小企业划分标准所属行业</w:t>
            </w:r>
          </w:p>
        </w:tc>
      </w:tr>
      <w:tr>
        <w:trPr>
          <w:cantSplit/>
          <w:trHeight w:val="291"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消费级航拍无人机</w:t>
            </w:r>
          </w:p>
        </w:tc>
        <w:tc>
          <w:tcPr>
            <w:tcW w:w="3634"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r>
        <w:trPr>
          <w:cantSplit/>
          <w:trHeight w:val="235"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行业级旗舰多光无人机</w:t>
            </w:r>
          </w:p>
        </w:tc>
        <w:tc>
          <w:tcPr>
            <w:tcW w:w="3634"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r>
        <w:trPr>
          <w:cantSplit/>
          <w:trHeight w:val="222"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行业级便携多光无人机</w:t>
            </w:r>
          </w:p>
        </w:tc>
        <w:tc>
          <w:tcPr>
            <w:tcW w:w="3634"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r>
        <w:trPr>
          <w:cantSplit/>
          <w:trHeight w:val="222"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多功能RTK基站</w:t>
            </w:r>
          </w:p>
        </w:tc>
        <w:tc>
          <w:tcPr>
            <w:tcW w:w="3634" w:type="dxa"/>
            <w:shd w:val="clear" w:color="auto" w:fill="auto"/>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r>
        <w:trPr>
          <w:cantSplit/>
          <w:trHeight w:val="222"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无线高清图传收发套装</w:t>
            </w:r>
          </w:p>
        </w:tc>
        <w:tc>
          <w:tcPr>
            <w:tcW w:w="3634" w:type="dxa"/>
            <w:shd w:val="clear" w:color="auto" w:fill="auto"/>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r>
        <w:trPr>
          <w:cantSplit/>
          <w:trHeight w:val="222" w:hRule="atLeast"/>
          <w:jc w:val="center"/>
        </w:trPr>
        <w:tc>
          <w:tcPr>
            <w:tcW w:w="693" w:type="dxa"/>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w:t>
            </w:r>
          </w:p>
        </w:tc>
        <w:tc>
          <w:tcPr>
            <w:tcW w:w="4193" w:type="dxa"/>
            <w:vAlign w:val="center"/>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无人机激光映射模组</w:t>
            </w:r>
          </w:p>
        </w:tc>
        <w:tc>
          <w:tcPr>
            <w:tcW w:w="3634" w:type="dxa"/>
            <w:shd w:val="clear" w:color="auto" w:fill="auto"/>
          </w:tcPr>
          <w:p>
            <w:pPr>
              <w:keepNext w:val="false"/>
              <w:keepLines w:val="false"/>
              <w:pageBreakBefore w:val="false"/>
              <w:widowControl w:val="false"/>
              <w:kinsoku/>
              <w:wordWrap/>
              <w:overflowPunct/>
              <w:topLinePunct w:val="false"/>
              <w:autoSpaceDE/>
              <w:autoSpaceDN/>
              <w:bidi w:val="false"/>
              <w:adjustRightInd/>
              <w:snapToGrid/>
              <w:spacing w:line="360" w:lineRule="exact"/>
              <w:jc w:val="center"/>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工业</w:t>
            </w:r>
          </w:p>
        </w:tc>
      </w:tr>
    </w:tbl>
    <w:p>
      <w:pPr>
        <w:keepNext w:val="false"/>
        <w:keepLines w:val="false"/>
        <w:pageBreakBefore w:val="false"/>
        <w:kinsoku/>
        <w:wordWrap/>
        <w:overflowPunct/>
        <w:topLinePunct w:val="false"/>
        <w:bidi w:val="false"/>
        <w:adjustRightInd w:val="false"/>
        <w:snapToGrid w:val="false"/>
        <w:spacing w:line="360" w:lineRule="exact"/>
        <w:textAlignment w:val="auto"/>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四、交付的时间和地点</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本项目工期为20个日历日。</w:t>
      </w:r>
      <w:r>
        <w:rPr>
          <w:rFonts w:hint="eastAsia" w:asciiTheme="majorEastAsia" w:hAnsiTheme="majorEastAsia" w:eastAsiaTheme="majorEastAsia" w:cstheme="majorEastAsia"/>
          <w:color w:val="auto"/>
          <w:sz w:val="21"/>
          <w:szCs w:val="21"/>
          <w:highlight w:val="none"/>
          <w:lang w:eastAsia="zh-CN"/>
        </w:rPr>
        <w:t>成交供应商</w:t>
      </w:r>
      <w:r>
        <w:rPr>
          <w:rFonts w:hint="eastAsia" w:asciiTheme="majorEastAsia" w:hAnsiTheme="majorEastAsia" w:eastAsiaTheme="majorEastAsia" w:cstheme="majorEastAsia"/>
          <w:color w:val="auto"/>
          <w:sz w:val="21"/>
          <w:szCs w:val="21"/>
          <w:highlight w:val="none"/>
        </w:rPr>
        <w:t>必须在签订合同后20个日历日内完成硬件设备的部署、调试工作。</w:t>
      </w:r>
    </w:p>
    <w:p>
      <w:pPr>
        <w:keepNext w:val="false"/>
        <w:keepLines w:val="false"/>
        <w:pageBreakBefore w:val="false"/>
        <w:kinsoku/>
        <w:wordWrap/>
        <w:overflowPunct/>
        <w:topLinePunct w:val="false"/>
        <w:bidi w:val="false"/>
        <w:adjustRightInd w:val="false"/>
        <w:snapToGrid w:val="false"/>
        <w:spacing w:line="360" w:lineRule="exact"/>
        <w:textAlignment w:val="auto"/>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五、付款条件</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预付款支付时间：合同签订后30日内，预付款支付比例：合同金额的30%。满足合同约定支付条件的，自收到发票后10个工作日内支付。</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验收款支付时间：项目验收合格后30日内，验收款支付比例：合同金额的70%。满足合同约定支付条件的，自收到发票后10个工作日内支付。</w:t>
      </w:r>
    </w:p>
    <w:p>
      <w:pPr>
        <w:keepNext w:val="false"/>
        <w:keepLines w:val="false"/>
        <w:pageBreakBefore w:val="false"/>
        <w:kinsoku/>
        <w:wordWrap/>
        <w:overflowPunct/>
        <w:topLinePunct w:val="false"/>
        <w:bidi w:val="false"/>
        <w:adjustRightInd w:val="false"/>
        <w:snapToGrid w:val="false"/>
        <w:spacing w:line="360" w:lineRule="exact"/>
        <w:textAlignment w:val="auto"/>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六、包装和运输</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lang w:eastAsia="zh-CN"/>
        </w:rPr>
      </w:pPr>
      <w:r>
        <w:rPr>
          <w:rFonts w:hint="eastAsia" w:asciiTheme="majorEastAsia" w:hAnsiTheme="majorEastAsia" w:eastAsiaTheme="majorEastAsia" w:cstheme="majorEastAsia"/>
          <w:color w:val="auto"/>
          <w:sz w:val="21"/>
          <w:szCs w:val="21"/>
          <w:highlight w:val="none"/>
        </w:rPr>
        <w:t>货物类必须要求满足《关于印发〈商品包装政府采购需求标准（试行）〉、〈快递包装政府采购需求标准（试行）〉的通知》（财办库﹝2020﹞123号）</w:t>
      </w:r>
      <w:r>
        <w:rPr>
          <w:rFonts w:hint="eastAsia" w:asciiTheme="majorEastAsia" w:hAnsiTheme="majorEastAsia" w:eastAsiaTheme="majorEastAsia" w:cstheme="majorEastAsia"/>
          <w:color w:val="auto"/>
          <w:sz w:val="21"/>
          <w:szCs w:val="21"/>
          <w:highlight w:val="none"/>
          <w:lang w:eastAsia="zh-CN"/>
        </w:rPr>
        <w:t>、财政部 生态环境部 工业和信息化部关于印发《绿色数据中心政府采购需求标准（试行）》的通知 （财库〔2023〕7号）文件精神。</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供应商</w:t>
      </w:r>
      <w:r>
        <w:rPr>
          <w:rFonts w:hint="eastAsia" w:asciiTheme="majorEastAsia" w:hAnsiTheme="majorEastAsia" w:eastAsiaTheme="majorEastAsia" w:cstheme="majorEastAsia"/>
          <w:color w:val="auto"/>
          <w:sz w:val="21"/>
          <w:szCs w:val="21"/>
          <w:highlight w:val="none"/>
        </w:rPr>
        <w:t>应保证货物是全新、未使用过的原厂商、原产地、原包装合格正品（含配件）。若用户单位发现</w:t>
      </w:r>
      <w:r>
        <w:rPr>
          <w:rFonts w:hint="eastAsia" w:asciiTheme="majorEastAsia" w:hAnsiTheme="majorEastAsia" w:eastAsiaTheme="majorEastAsia" w:cstheme="majorEastAsia"/>
          <w:color w:val="auto"/>
          <w:sz w:val="21"/>
          <w:szCs w:val="21"/>
          <w:highlight w:val="none"/>
          <w:lang w:eastAsia="zh-CN"/>
        </w:rPr>
        <w:t>供应商</w:t>
      </w:r>
      <w:r>
        <w:rPr>
          <w:rFonts w:hint="eastAsia" w:asciiTheme="majorEastAsia" w:hAnsiTheme="majorEastAsia" w:eastAsiaTheme="majorEastAsia" w:cstheme="majorEastAsia"/>
          <w:color w:val="auto"/>
          <w:sz w:val="21"/>
          <w:szCs w:val="21"/>
          <w:highlight w:val="none"/>
        </w:rPr>
        <w:t>所供产品为OEM（非原厂）产品，</w:t>
      </w:r>
      <w:r>
        <w:rPr>
          <w:rFonts w:hint="eastAsia" w:asciiTheme="majorEastAsia" w:hAnsiTheme="majorEastAsia" w:eastAsiaTheme="majorEastAsia" w:cstheme="majorEastAsia"/>
          <w:color w:val="auto"/>
          <w:sz w:val="21"/>
          <w:szCs w:val="21"/>
          <w:highlight w:val="none"/>
          <w:lang w:eastAsia="zh-CN"/>
        </w:rPr>
        <w:t>供应商</w:t>
      </w:r>
      <w:r>
        <w:rPr>
          <w:rFonts w:hint="eastAsia" w:asciiTheme="majorEastAsia" w:hAnsiTheme="majorEastAsia" w:eastAsiaTheme="majorEastAsia" w:cstheme="majorEastAsia"/>
          <w:color w:val="auto"/>
          <w:sz w:val="21"/>
          <w:szCs w:val="21"/>
          <w:highlight w:val="none"/>
        </w:rPr>
        <w:t>向用户单位予以该产品合同价双倍赔偿。</w:t>
      </w:r>
    </w:p>
    <w:p>
      <w:pPr>
        <w:keepNext w:val="false"/>
        <w:keepLines w:val="false"/>
        <w:pageBreakBefore w:val="false"/>
        <w:kinsoku/>
        <w:wordWrap/>
        <w:overflowPunct/>
        <w:topLinePunct w:val="false"/>
        <w:bidi w:val="false"/>
        <w:adjustRightInd w:val="false"/>
        <w:snapToGrid w:val="false"/>
        <w:spacing w:line="360" w:lineRule="exact"/>
        <w:textAlignment w:val="auto"/>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七、 售后服务</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lang w:eastAsia="zh-CN"/>
        </w:rPr>
        <w:t>）成交供应商</w:t>
      </w:r>
      <w:r>
        <w:rPr>
          <w:rFonts w:hint="eastAsia" w:asciiTheme="majorEastAsia" w:hAnsiTheme="majorEastAsia" w:eastAsiaTheme="majorEastAsia" w:cstheme="majorEastAsia"/>
          <w:color w:val="auto"/>
          <w:sz w:val="21"/>
          <w:szCs w:val="21"/>
          <w:highlight w:val="none"/>
        </w:rPr>
        <w:t>必须提供本项目三年的原厂免费维保服务，维保服务期自验收合格之日起计算，在维保服务期内提供免费保养、维修和系统升级服务。</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在质保期内，</w:t>
      </w:r>
      <w:r>
        <w:rPr>
          <w:rFonts w:hint="eastAsia" w:asciiTheme="majorEastAsia" w:hAnsiTheme="majorEastAsia" w:eastAsiaTheme="majorEastAsia" w:cstheme="majorEastAsia"/>
          <w:color w:val="auto"/>
          <w:sz w:val="21"/>
          <w:szCs w:val="21"/>
          <w:highlight w:val="none"/>
          <w:lang w:eastAsia="zh-CN"/>
        </w:rPr>
        <w:t>成交供应商</w:t>
      </w:r>
      <w:r>
        <w:rPr>
          <w:rFonts w:hint="eastAsia" w:asciiTheme="majorEastAsia" w:hAnsiTheme="majorEastAsia" w:eastAsiaTheme="majorEastAsia" w:cstheme="majorEastAsia"/>
          <w:color w:val="auto"/>
          <w:sz w:val="21"/>
          <w:szCs w:val="21"/>
          <w:highlight w:val="none"/>
        </w:rPr>
        <w:t>须承诺7*24小时全天候20分钟电话响应服务，2小时现场服务响应；对采购人所提出的维修要求作出实质性响应，提供应急策略；如出现设备故障，如在24小时内不能解决问题，应免费在3个工作日内用同样的品牌、规格或更高的部件更换到位，保修服务由原生产厂家提供。</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3</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本次招标采用固定</w:t>
      </w:r>
      <w:r>
        <w:rPr>
          <w:rFonts w:hint="eastAsia" w:asciiTheme="majorEastAsia" w:hAnsiTheme="majorEastAsia" w:eastAsiaTheme="majorEastAsia" w:cstheme="majorEastAsia"/>
          <w:color w:val="auto"/>
          <w:sz w:val="21"/>
          <w:szCs w:val="21"/>
          <w:highlight w:val="none"/>
          <w:lang w:val="en-US" w:eastAsia="zh-CN"/>
        </w:rPr>
        <w:t>单价</w:t>
      </w:r>
      <w:r>
        <w:rPr>
          <w:rFonts w:hint="eastAsia" w:asciiTheme="majorEastAsia" w:hAnsiTheme="majorEastAsia" w:eastAsiaTheme="majorEastAsia" w:cstheme="majorEastAsia"/>
          <w:color w:val="auto"/>
          <w:sz w:val="21"/>
          <w:szCs w:val="21"/>
          <w:highlight w:val="none"/>
        </w:rPr>
        <w:t>方式，</w:t>
      </w:r>
      <w:r>
        <w:rPr>
          <w:rFonts w:hint="eastAsia" w:asciiTheme="majorEastAsia" w:hAnsiTheme="majorEastAsia" w:eastAsiaTheme="majorEastAsia" w:cstheme="majorEastAsia"/>
          <w:color w:val="auto"/>
          <w:sz w:val="21"/>
          <w:szCs w:val="21"/>
          <w:highlight w:val="none"/>
          <w:lang w:eastAsia="zh-CN"/>
        </w:rPr>
        <w:t>供应商</w:t>
      </w:r>
      <w:r>
        <w:rPr>
          <w:rFonts w:hint="eastAsia" w:asciiTheme="majorEastAsia" w:hAnsiTheme="majorEastAsia" w:eastAsiaTheme="majorEastAsia" w:cstheme="majorEastAsia"/>
          <w:color w:val="auto"/>
          <w:sz w:val="21"/>
          <w:szCs w:val="21"/>
          <w:highlight w:val="none"/>
        </w:rPr>
        <w:t>的</w:t>
      </w:r>
      <w:r>
        <w:rPr>
          <w:rFonts w:hint="eastAsia" w:asciiTheme="majorEastAsia" w:hAnsiTheme="majorEastAsia" w:eastAsiaTheme="majorEastAsia" w:cstheme="majorEastAsia"/>
          <w:color w:val="auto"/>
          <w:sz w:val="21"/>
          <w:szCs w:val="21"/>
          <w:highlight w:val="none"/>
          <w:lang w:val="en-US" w:eastAsia="zh-CN"/>
        </w:rPr>
        <w:t>谈判</w:t>
      </w:r>
      <w:r>
        <w:rPr>
          <w:rFonts w:hint="eastAsia" w:asciiTheme="majorEastAsia" w:hAnsiTheme="majorEastAsia" w:eastAsiaTheme="majorEastAsia" w:cstheme="majorEastAsia"/>
          <w:color w:val="auto"/>
          <w:sz w:val="21"/>
          <w:szCs w:val="21"/>
          <w:highlight w:val="none"/>
        </w:rPr>
        <w:t>报价中应包括但不限于设备采购费用、安装调试费用、培训费用、售后服务费用以及相关知识产权和所需缴纳的任何税费等所有的费用。</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为用户提供全面的技术支持，帮助用户及时解决系统运行中遇到的技术问题，配合用户根据运行环境和要求调整操作系统等性能参数，定期上门检查整套系统的运行情况，并能根据用户系统变化情况及时调整优化。</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5</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保密安全要求：</w:t>
      </w:r>
      <w:r>
        <w:rPr>
          <w:rFonts w:hint="eastAsia" w:asciiTheme="majorEastAsia" w:hAnsiTheme="majorEastAsia" w:eastAsiaTheme="majorEastAsia" w:cstheme="majorEastAsia"/>
          <w:color w:val="auto"/>
          <w:sz w:val="21"/>
          <w:szCs w:val="21"/>
          <w:highlight w:val="none"/>
          <w:lang w:eastAsia="zh-CN"/>
        </w:rPr>
        <w:t>成交供应商</w:t>
      </w:r>
      <w:r>
        <w:rPr>
          <w:rFonts w:hint="eastAsia" w:asciiTheme="majorEastAsia" w:hAnsiTheme="majorEastAsia" w:eastAsiaTheme="majorEastAsia" w:cstheme="majorEastAsia"/>
          <w:color w:val="auto"/>
          <w:sz w:val="21"/>
          <w:szCs w:val="21"/>
          <w:highlight w:val="none"/>
        </w:rPr>
        <w:t>须对培训师、技术员、维保人员等进行相关安全保密教育，并签订保密协议，有履行保密的责任和义务，并在保密协议中承诺不参与任何信息泄密事件，如涉及信息安全泄密事件，参与人将承担违法相关责任，参与人所属公司也将承担连带法律责任。</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br w:type="page"/>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000028"/>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hint="eastAsia" w:cs="宋体"/>
          <w:color w:val="auto"/>
          <w:sz w:val="21"/>
          <w:szCs w:val="21"/>
          <w:highlight w:val="none"/>
        </w:rPr>
        <w:t>合同编号：</w:t>
      </w:r>
    </w:p>
    <w:p>
      <w:pPr>
        <w:pStyle w:val="000028"/>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000020"/>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000028"/>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甲乙双方依据《中华人民共和国民法典》以及有关法律、法规的规定，经协商一致，订立本合同，以便共同遵守。</w:t>
      </w:r>
    </w:p>
    <w:p>
      <w:pPr>
        <w:pStyle w:val="000028"/>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false"/>
        <w:spacing w:line="360" w:lineRule="exact"/>
        <w:ind w:firstLine="422" w:firstLineChars="201"/>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000028"/>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000028"/>
        <w:spacing w:line="360" w:lineRule="exact"/>
        <w:ind w:firstLine="424" w:firstLineChars="201"/>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spacing w:line="360" w:lineRule="exact"/>
        <w:ind w:right="210" w:firstLine="420" w:firstLineChars="200"/>
        <w:jc w:val="left"/>
        <w:rPr>
          <w:rFonts w:ascii="宋体" w:hAnsi="宋体" w:cs="宋体"/>
          <w:color w:val="auto"/>
          <w:szCs w:val="21"/>
          <w:highlight w:val="none"/>
        </w:rPr>
      </w:pPr>
      <w:r>
        <w:rPr>
          <w:rFonts w:hint="eastAsia" w:cs="宋体" w:asciiTheme="minorEastAsia" w:hAnsiTheme="minorEastAsia"/>
          <w:color w:val="auto"/>
          <w:szCs w:val="21"/>
          <w:highlight w:val="none"/>
        </w:rPr>
        <w:t>本合同总价款应包括竞争性谈判文件所确定的采购范围</w:t>
      </w:r>
      <w:r>
        <w:rPr>
          <w:rFonts w:hint="eastAsia" w:ascii="宋体" w:hAnsi="宋体" w:cs="宋体"/>
          <w:color w:val="auto"/>
          <w:szCs w:val="21"/>
          <w:highlight w:val="none"/>
        </w:rPr>
        <w:t>应包括竞争性谈判文件所确定的相应货物和服务的供货、包装、运输、保险、安装调试、管理、维护、劳务、培训、验收、办公设备、设备、工具、耗材、运送工具及耗材、利润、风险、税金及政策性文件规定等各项应有费用，以及为完成该项货物和服务项目所涉及到的一切相关费用，甲方不再支付其他任何费用。</w:t>
      </w:r>
    </w:p>
    <w:p>
      <w:pPr>
        <w:pStyle w:val="000028"/>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000028"/>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000028"/>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000028"/>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（1）竞争性谈判文件（编号：</w:t>
      </w:r>
      <w:r>
        <w:rPr>
          <w:rFonts w:hint="eastAsia" w:cs="宋体" w:asciiTheme="minorEastAsia" w:hAnsiTheme="minorEastAsia"/>
          <w:color w:val="auto"/>
          <w:sz w:val="21"/>
          <w:szCs w:val="21"/>
          <w:highlight w:val="none"/>
          <w:lang w:eastAsia="zh-CN"/>
        </w:rPr>
        <w:t>SYZB-SJ-2025013</w:t>
      </w:r>
      <w:r>
        <w:rPr>
          <w:rFonts w:hint="eastAsia" w:cs="宋体" w:asciiTheme="minorEastAsia" w:hAnsiTheme="minorEastAsia"/>
          <w:color w:val="auto"/>
          <w:sz w:val="21"/>
          <w:szCs w:val="21"/>
          <w:highlight w:val="none"/>
        </w:rPr>
        <w:t xml:space="preserve">）  （2）乙方提供的谈判响应文件； </w:t>
      </w:r>
    </w:p>
    <w:p>
      <w:pPr>
        <w:pStyle w:val="000028"/>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）成交通知书；        （</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1.乙方所提供的货物的技术规格应与竞争性谈判文件规定的技术规格及所附的“技术规格响应表”相一致；若技术性能无特殊说明，则按国家有关部门最新颁布的标准及规范为准。</w:t>
      </w:r>
    </w:p>
    <w:p>
      <w:pPr>
        <w:pStyle w:val="000028"/>
        <w:spacing w:line="360" w:lineRule="exact"/>
        <w:ind w:firstLine="422" w:firstLineChars="201"/>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天内将货物交付甲方正常使用，地点由甲方指定。竞争性谈判文件有约定的，从其约定。</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2.乙方交付的货物应当完全符合本合同或者谈判响应文件所规定的货物、数量和规格要求。乙方提供的货物不符合谈判响应文件和合同规定的，甲方有权拒收货物，由此引起的风险，由乙方承担。</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4.乙方应将所提供货物的装箱清单、用户手册等交付给甲方；乙方不能完整交付货物及未提供本款规定资料的，视为未按合同约定交货，乙方负责补齐，因此导致逾期交付的，由乙方承担相关的违约责任。</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5.货物验收的标准：按行业通行标准、厂方出厂标准和乙方谈判响应文件的承诺（并不低于国家相关标准）。</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3.结算</w:t>
      </w:r>
      <w:r>
        <w:rPr>
          <w:rFonts w:asciiTheme="minorEastAsia" w:hAnsiTheme="minorEastAsia" w:eastAsiaTheme="minorEastAsia"/>
          <w:color w:val="auto"/>
          <w:szCs w:val="21"/>
          <w:highlight w:val="none"/>
        </w:rPr>
        <w:t>原则：</w:t>
      </w:r>
      <w:r>
        <w:rPr>
          <w:rFonts w:hint="eastAsia" w:asciiTheme="minorEastAsia" w:hAnsiTheme="minorEastAsia" w:eastAsiaTheme="minorEastAsia"/>
          <w:color w:val="auto"/>
          <w:szCs w:val="21"/>
          <w:highlight w:val="none"/>
          <w:lang w:val="en-US" w:eastAsia="zh-CN"/>
        </w:rPr>
        <w:t>固定单价，按实结算</w:t>
      </w:r>
      <w:r>
        <w:rPr>
          <w:rFonts w:hint="eastAsia" w:asciiTheme="minorEastAsia" w:hAnsiTheme="minorEastAsia" w:eastAsiaTheme="minorEastAsia"/>
          <w:color w:val="auto"/>
          <w:szCs w:val="21"/>
          <w:highlight w:val="none"/>
        </w:rPr>
        <w:t>。</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4.付款方式：</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hint="eastAsia" w:asciiTheme="majorEastAsia" w:hAnsiTheme="majorEastAsia" w:eastAsiaTheme="majorEastAsia" w:cstheme="majorEastAsia"/>
          <w:color w:val="auto"/>
          <w:sz w:val="21"/>
          <w:szCs w:val="21"/>
          <w:highlight w:val="none"/>
        </w:rPr>
      </w:pPr>
      <w:r>
        <w:rPr>
          <w:rFonts w:hint="eastAsia" w:asciiTheme="minorEastAsia" w:hAnsiTheme="minorEastAsia" w:eastAsiaTheme="minorEastAsia"/>
          <w:color w:val="auto"/>
          <w:szCs w:val="21"/>
          <w:highlight w:val="none"/>
          <w:lang w:val="en-US" w:eastAsia="zh-CN"/>
        </w:rPr>
        <w:t>4.1</w:t>
      </w:r>
      <w:r>
        <w:rPr>
          <w:rFonts w:hint="eastAsia" w:asciiTheme="majorEastAsia" w:hAnsiTheme="majorEastAsia" w:eastAsiaTheme="majorEastAsia" w:cstheme="majorEastAsia"/>
          <w:color w:val="auto"/>
          <w:sz w:val="21"/>
          <w:szCs w:val="21"/>
          <w:highlight w:val="none"/>
        </w:rPr>
        <w:t>预付款支付时间：合同签订后30日内，预付款支付比例：合同金额的30%。满足合同约定支付条件的，自收到发票后10个工作日内支付。</w:t>
      </w:r>
    </w:p>
    <w:p>
      <w:pPr>
        <w:keepNext w:val="false"/>
        <w:keepLines w:val="false"/>
        <w:pageBreakBefore w:val="false"/>
        <w:widowControl w:val="false"/>
        <w:kinsoku/>
        <w:wordWrap/>
        <w:overflowPunct/>
        <w:topLinePunct w:val="false"/>
        <w:autoSpaceDE/>
        <w:autoSpaceDN/>
        <w:bidi w:val="false"/>
        <w:adjustRightInd/>
        <w:snapToGrid/>
        <w:spacing w:line="360" w:lineRule="exact"/>
        <w:ind w:firstLine="420" w:firstLineChars="200"/>
        <w:contextualSpacing/>
        <w:textAlignment w:val="auto"/>
        <w:rPr>
          <w:rFonts w:asciiTheme="minorEastAsia" w:hAnsiTheme="minorEastAsia" w:eastAsiaTheme="minorEastAsia"/>
          <w:b/>
          <w:color w:val="auto"/>
          <w:szCs w:val="21"/>
          <w:highlight w:val="none"/>
        </w:rPr>
      </w:pPr>
      <w:r>
        <w:rPr>
          <w:rFonts w:hint="eastAsia" w:asciiTheme="majorEastAsia" w:hAnsiTheme="majorEastAsia" w:eastAsiaTheme="majorEastAsia" w:cstheme="majorEastAsia"/>
          <w:color w:val="auto"/>
          <w:sz w:val="21"/>
          <w:szCs w:val="21"/>
          <w:highlight w:val="none"/>
          <w:lang w:val="en-US" w:eastAsia="zh-CN"/>
        </w:rPr>
        <w:t>4.2</w:t>
      </w:r>
      <w:r>
        <w:rPr>
          <w:rFonts w:hint="eastAsia" w:asciiTheme="majorEastAsia" w:hAnsiTheme="majorEastAsia" w:eastAsiaTheme="majorEastAsia" w:cstheme="majorEastAsia"/>
          <w:color w:val="auto"/>
          <w:sz w:val="21"/>
          <w:szCs w:val="21"/>
          <w:highlight w:val="none"/>
        </w:rPr>
        <w:t>验收款支付时间：项目验收合格后30日内，验收款支付比例：合同金额的70%。满足合同约定支付条件的，自收到发票后10个工作日内支付。</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伴随服务</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1.乙方应按照国家有关法律法规规章和“三包”规定以及合同所附的“服务承诺”提供服务。</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第十条 违约责任</w:t>
      </w:r>
    </w:p>
    <w:p>
      <w:pPr>
        <w:spacing w:line="360" w:lineRule="exact"/>
        <w:ind w:firstLine="420" w:firstLineChars="200"/>
        <w:rPr>
          <w:color w:val="auto"/>
          <w:highlight w:val="none"/>
        </w:rPr>
      </w:pPr>
      <w:r>
        <w:rPr>
          <w:color w:val="auto"/>
          <w:highlight w:val="none"/>
        </w:rPr>
        <w:t>1.</w:t>
      </w:r>
      <w:r>
        <w:rPr>
          <w:rFonts w:hint="eastAsia"/>
          <w:color w:val="auto"/>
          <w:highlight w:val="none"/>
        </w:rPr>
        <w:t>如乙方不能</w:t>
      </w:r>
      <w:r>
        <w:rPr>
          <w:color w:val="auto"/>
          <w:highlight w:val="none"/>
        </w:rPr>
        <w:t>按时</w:t>
      </w:r>
      <w:r>
        <w:rPr>
          <w:rFonts w:hint="eastAsia"/>
          <w:color w:val="auto"/>
          <w:highlight w:val="none"/>
        </w:rPr>
        <w:t>交付货物的，每逾期</w:t>
      </w:r>
      <w:r>
        <w:rPr>
          <w:color w:val="auto"/>
          <w:highlight w:val="none"/>
        </w:rPr>
        <w:t>1</w:t>
      </w:r>
      <w:r>
        <w:rPr>
          <w:rFonts w:hint="eastAsia"/>
          <w:color w:val="auto"/>
          <w:highlight w:val="none"/>
        </w:rPr>
        <w:t>天，乙方向甲方偿付合同总额</w:t>
      </w:r>
      <w:r>
        <w:rPr>
          <w:color w:val="auto"/>
          <w:highlight w:val="none"/>
        </w:rPr>
        <w:t>5</w:t>
      </w:r>
      <w:r>
        <w:rPr>
          <w:rFonts w:hint="eastAsia"/>
          <w:color w:val="auto"/>
          <w:highlight w:val="none"/>
        </w:rPr>
        <w:t>‰的违约金</w:t>
      </w:r>
      <w:r>
        <w:rPr>
          <w:color w:val="auto"/>
          <w:highlight w:val="none"/>
        </w:rPr>
        <w:t>；</w:t>
      </w:r>
      <w:r>
        <w:rPr>
          <w:rFonts w:hint="eastAsia"/>
          <w:color w:val="auto"/>
          <w:highlight w:val="none"/>
        </w:rPr>
        <w:t>乙方</w:t>
      </w:r>
      <w:r>
        <w:rPr>
          <w:color w:val="auto"/>
          <w:highlight w:val="none"/>
        </w:rPr>
        <w:t>逾期交付货物超过10</w:t>
      </w:r>
      <w:r>
        <w:rPr>
          <w:rFonts w:hint="eastAsia"/>
          <w:color w:val="auto"/>
          <w:highlight w:val="none"/>
        </w:rPr>
        <w:t>天</w:t>
      </w:r>
      <w:r>
        <w:rPr>
          <w:color w:val="auto"/>
          <w:highlight w:val="none"/>
        </w:rPr>
        <w:t>（</w:t>
      </w:r>
      <w:r>
        <w:rPr>
          <w:rFonts w:hint="eastAsia"/>
          <w:color w:val="auto"/>
          <w:highlight w:val="none"/>
        </w:rPr>
        <w:t>含</w:t>
      </w:r>
      <w:r>
        <w:rPr>
          <w:color w:val="auto"/>
          <w:highlight w:val="none"/>
        </w:rPr>
        <w:t>10</w:t>
      </w:r>
      <w:r>
        <w:rPr>
          <w:rFonts w:hint="eastAsia"/>
          <w:color w:val="auto"/>
          <w:highlight w:val="none"/>
        </w:rPr>
        <w:t>天</w:t>
      </w:r>
      <w:r>
        <w:rPr>
          <w:color w:val="auto"/>
          <w:highlight w:val="none"/>
        </w:rPr>
        <w:t>），</w:t>
      </w:r>
      <w:r>
        <w:rPr>
          <w:rFonts w:hint="eastAsia"/>
          <w:color w:val="auto"/>
          <w:highlight w:val="none"/>
        </w:rPr>
        <w:t>甲方有权解除合同，</w:t>
      </w:r>
      <w:r>
        <w:rPr>
          <w:color w:val="auto"/>
          <w:highlight w:val="none"/>
        </w:rPr>
        <w:t>同时有权要求乙方按照</w:t>
      </w:r>
      <w:r>
        <w:rPr>
          <w:rFonts w:hint="eastAsia"/>
          <w:color w:val="auto"/>
          <w:highlight w:val="none"/>
        </w:rPr>
        <w:t>合同总价</w:t>
      </w:r>
      <w:r>
        <w:rPr>
          <w:color w:val="auto"/>
          <w:highlight w:val="none"/>
        </w:rPr>
        <w:t>5%</w:t>
      </w:r>
      <w:r>
        <w:rPr>
          <w:rFonts w:hint="eastAsia"/>
          <w:color w:val="auto"/>
          <w:highlight w:val="none"/>
        </w:rPr>
        <w:t>的</w:t>
      </w:r>
      <w:r>
        <w:rPr>
          <w:color w:val="auto"/>
          <w:highlight w:val="none"/>
        </w:rPr>
        <w:t>标准支付</w:t>
      </w:r>
      <w:r>
        <w:rPr>
          <w:rFonts w:hint="eastAsia"/>
          <w:color w:val="auto"/>
          <w:highlight w:val="none"/>
        </w:rPr>
        <w:t>违约金</w:t>
      </w:r>
      <w:r>
        <w:rPr>
          <w:color w:val="auto"/>
          <w:highlight w:val="none"/>
        </w:rPr>
        <w:t>，</w:t>
      </w:r>
      <w:r>
        <w:rPr>
          <w:rFonts w:hint="eastAsia"/>
          <w:color w:val="auto"/>
          <w:highlight w:val="none"/>
        </w:rPr>
        <w:t>解除合同的通知自</w:t>
      </w:r>
      <w:r>
        <w:rPr>
          <w:color w:val="auto"/>
          <w:highlight w:val="none"/>
        </w:rPr>
        <w:t>发出之日</w:t>
      </w:r>
      <w:r>
        <w:rPr>
          <w:rFonts w:hint="eastAsia"/>
          <w:color w:val="auto"/>
          <w:highlight w:val="none"/>
        </w:rPr>
        <w:t>生效。</w:t>
      </w:r>
    </w:p>
    <w:p>
      <w:pPr>
        <w:spacing w:line="360" w:lineRule="exact"/>
        <w:ind w:firstLine="420" w:firstLineChars="200"/>
        <w:rPr>
          <w:color w:val="auto"/>
          <w:highlight w:val="none"/>
        </w:rPr>
      </w:pPr>
      <w:r>
        <w:rPr>
          <w:color w:val="auto"/>
          <w:highlight w:val="none"/>
        </w:rPr>
        <w:t>2.</w:t>
      </w:r>
      <w:r>
        <w:rPr>
          <w:rFonts w:hint="eastAsia"/>
          <w:color w:val="auto"/>
          <w:highlight w:val="none"/>
        </w:rPr>
        <w:t>甲方未按合同规定的期限向乙方支付货款的，每逾期</w:t>
      </w:r>
      <w:r>
        <w:rPr>
          <w:color w:val="auto"/>
          <w:highlight w:val="none"/>
        </w:rPr>
        <w:t>1</w:t>
      </w:r>
      <w:r>
        <w:rPr>
          <w:rFonts w:hint="eastAsia"/>
          <w:color w:val="auto"/>
          <w:highlight w:val="none"/>
        </w:rPr>
        <w:t>天甲方向乙方偿付欠款总额的</w:t>
      </w:r>
      <w:r>
        <w:rPr>
          <w:color w:val="auto"/>
          <w:highlight w:val="none"/>
        </w:rPr>
        <w:t>5</w:t>
      </w:r>
      <w:r>
        <w:rPr>
          <w:rFonts w:hint="eastAsia"/>
          <w:color w:val="auto"/>
          <w:highlight w:val="none"/>
        </w:rPr>
        <w:t>‰滞纳金，但累计滞纳金总额不超过欠款总额的</w:t>
      </w:r>
      <w:r>
        <w:rPr>
          <w:color w:val="auto"/>
          <w:highlight w:val="none"/>
        </w:rPr>
        <w:t xml:space="preserve">5% </w:t>
      </w:r>
      <w:r>
        <w:rPr>
          <w:rFonts w:hint="eastAsia"/>
          <w:color w:val="auto"/>
          <w:highlight w:val="none"/>
        </w:rPr>
        <w:t>。</w:t>
      </w:r>
    </w:p>
    <w:p>
      <w:pPr>
        <w:spacing w:line="360" w:lineRule="exact"/>
        <w:ind w:firstLine="420" w:firstLineChars="200"/>
        <w:rPr>
          <w:color w:val="auto"/>
          <w:highlight w:val="none"/>
        </w:rPr>
      </w:pPr>
      <w:r>
        <w:rPr>
          <w:color w:val="auto"/>
          <w:highlight w:val="none"/>
        </w:rPr>
        <w:t>3.</w:t>
      </w:r>
      <w:r>
        <w:rPr>
          <w:rFonts w:hint="eastAsia"/>
          <w:color w:val="auto"/>
          <w:highlight w:val="none"/>
        </w:rPr>
        <w:t>乙方所交付的货物品种、型号、规格不符合合同规定的，甲方有权拒收</w:t>
      </w:r>
      <w:r>
        <w:rPr>
          <w:color w:val="auto"/>
          <w:highlight w:val="none"/>
        </w:rPr>
        <w:t>，</w:t>
      </w:r>
      <w:r>
        <w:rPr>
          <w:rFonts w:hint="eastAsia"/>
          <w:color w:val="auto"/>
          <w:highlight w:val="none"/>
        </w:rPr>
        <w:t>同时</w:t>
      </w:r>
      <w:r>
        <w:rPr>
          <w:color w:val="auto"/>
          <w:highlight w:val="none"/>
        </w:rPr>
        <w:t>有权解除合同，</w:t>
      </w:r>
      <w:r>
        <w:rPr>
          <w:rFonts w:hint="eastAsia"/>
          <w:color w:val="auto"/>
          <w:highlight w:val="none"/>
        </w:rPr>
        <w:t>解除合同的通知自</w:t>
      </w:r>
      <w:r>
        <w:rPr>
          <w:color w:val="auto"/>
          <w:highlight w:val="none"/>
        </w:rPr>
        <w:t>发出之日</w:t>
      </w:r>
      <w:r>
        <w:rPr>
          <w:rFonts w:hint="eastAsia"/>
          <w:color w:val="auto"/>
          <w:highlight w:val="none"/>
        </w:rPr>
        <w:t>生效</w:t>
      </w:r>
      <w:r>
        <w:rPr>
          <w:color w:val="auto"/>
          <w:highlight w:val="none"/>
        </w:rPr>
        <w:t>。</w:t>
      </w:r>
    </w:p>
    <w:p>
      <w:pPr>
        <w:spacing w:line="360" w:lineRule="exact"/>
        <w:ind w:firstLine="420" w:firstLineChars="200"/>
        <w:rPr>
          <w:color w:val="auto"/>
          <w:highlight w:val="none"/>
        </w:rPr>
      </w:pPr>
      <w:r>
        <w:rPr>
          <w:color w:val="auto"/>
          <w:highlight w:val="none"/>
        </w:rPr>
        <w:t>4.</w:t>
      </w:r>
      <w:r>
        <w:rPr>
          <w:rFonts w:hint="eastAsia"/>
          <w:color w:val="auto"/>
          <w:highlight w:val="none"/>
        </w:rPr>
        <w:t>在乙方承诺的或国家规定的质量保证期内（取两者中最长的期限），如经乙方两次维修或更换，货物仍不能达到合同约定的质量标准、运行效果的，甲方有权</w:t>
      </w:r>
      <w:r>
        <w:rPr>
          <w:color w:val="auto"/>
          <w:highlight w:val="none"/>
        </w:rPr>
        <w:t>要求</w:t>
      </w:r>
      <w:r>
        <w:rPr>
          <w:rFonts w:hint="eastAsia"/>
          <w:color w:val="auto"/>
          <w:highlight w:val="none"/>
        </w:rPr>
        <w:t>退货，乙方应退回全部货款，</w:t>
      </w:r>
      <w:r>
        <w:rPr>
          <w:color w:val="auto"/>
          <w:highlight w:val="none"/>
        </w:rPr>
        <w:t>同时甲方有权按照本条第1</w:t>
      </w:r>
      <w:r>
        <w:rPr>
          <w:rFonts w:hint="eastAsia"/>
          <w:color w:val="auto"/>
          <w:highlight w:val="none"/>
        </w:rPr>
        <w:t>点向</w:t>
      </w:r>
      <w:r>
        <w:rPr>
          <w:color w:val="auto"/>
          <w:highlight w:val="none"/>
        </w:rPr>
        <w:t>乙方主张违约金</w:t>
      </w:r>
      <w:r>
        <w:rPr>
          <w:rFonts w:hint="eastAsia"/>
          <w:color w:val="auto"/>
          <w:highlight w:val="none"/>
        </w:rPr>
        <w:t>，</w:t>
      </w:r>
      <w:r>
        <w:rPr>
          <w:color w:val="auto"/>
          <w:highlight w:val="none"/>
        </w:rPr>
        <w:t>若仍不足以弥补甲方损失，</w:t>
      </w:r>
      <w:r>
        <w:rPr>
          <w:rFonts w:hint="eastAsia"/>
          <w:color w:val="auto"/>
          <w:highlight w:val="none"/>
        </w:rPr>
        <w:t>则乙方还须赔偿甲方因此遭受的</w:t>
      </w:r>
      <w:r>
        <w:rPr>
          <w:color w:val="auto"/>
          <w:highlight w:val="none"/>
        </w:rPr>
        <w:t>所有</w:t>
      </w:r>
      <w:r>
        <w:rPr>
          <w:rFonts w:hint="eastAsia"/>
          <w:color w:val="auto"/>
          <w:highlight w:val="none"/>
        </w:rPr>
        <w:t>损失。</w:t>
      </w:r>
    </w:p>
    <w:p>
      <w:pPr>
        <w:spacing w:line="360" w:lineRule="exact"/>
        <w:ind w:firstLine="420" w:firstLineChars="200"/>
        <w:rPr>
          <w:color w:val="auto"/>
          <w:highlight w:val="none"/>
        </w:rPr>
      </w:pPr>
      <w:r>
        <w:rPr>
          <w:rFonts w:hint="eastAsia"/>
          <w:color w:val="auto"/>
          <w:highlight w:val="none"/>
        </w:rPr>
        <w:t>5</w:t>
      </w:r>
      <w:r>
        <w:rPr>
          <w:color w:val="auto"/>
          <w:highlight w:val="none"/>
        </w:rPr>
        <w:t>.</w:t>
      </w:r>
      <w:r>
        <w:rPr>
          <w:rFonts w:hint="eastAsia"/>
          <w:color w:val="auto"/>
          <w:highlight w:val="none"/>
        </w:rPr>
        <w:t>乙方未按本合同的规定和“服务承诺”提供伴随服务</w:t>
      </w:r>
      <w:r>
        <w:rPr>
          <w:color w:val="auto"/>
          <w:highlight w:val="none"/>
        </w:rPr>
        <w:t>/</w:t>
      </w:r>
      <w:r>
        <w:rPr>
          <w:rFonts w:hint="eastAsia"/>
          <w:color w:val="auto"/>
          <w:highlight w:val="none"/>
        </w:rPr>
        <w:t>售后服务的，</w:t>
      </w:r>
      <w:r>
        <w:rPr>
          <w:color w:val="auto"/>
          <w:highlight w:val="none"/>
        </w:rPr>
        <w:t>甲方有权提前解除本合同，</w:t>
      </w:r>
      <w:r>
        <w:rPr>
          <w:rFonts w:hint="eastAsia"/>
          <w:color w:val="auto"/>
          <w:highlight w:val="none"/>
        </w:rPr>
        <w:t>同时</w:t>
      </w:r>
      <w:r>
        <w:rPr>
          <w:color w:val="auto"/>
          <w:highlight w:val="none"/>
        </w:rPr>
        <w:t>乙方</w:t>
      </w:r>
      <w:r>
        <w:rPr>
          <w:rFonts w:hint="eastAsia"/>
          <w:color w:val="auto"/>
          <w:highlight w:val="none"/>
        </w:rPr>
        <w:t>应按合同总价款的</w:t>
      </w:r>
      <w:r>
        <w:rPr>
          <w:color w:val="auto"/>
          <w:highlight w:val="none"/>
        </w:rPr>
        <w:t>5 %</w:t>
      </w:r>
      <w:r>
        <w:rPr>
          <w:rFonts w:hint="eastAsia"/>
          <w:color w:val="auto"/>
          <w:highlight w:val="none"/>
        </w:rPr>
        <w:t>向甲方承担违约责任。</w:t>
      </w:r>
    </w:p>
    <w:p>
      <w:pPr>
        <w:spacing w:line="360" w:lineRule="exact"/>
        <w:ind w:firstLine="420" w:firstLineChars="200"/>
        <w:rPr>
          <w:color w:val="auto"/>
          <w:highlight w:val="none"/>
        </w:rPr>
      </w:pPr>
      <w:r>
        <w:rPr>
          <w:rFonts w:hint="eastAsia"/>
          <w:color w:val="auto"/>
          <w:highlight w:val="none"/>
        </w:rPr>
        <w:t>6</w:t>
      </w:r>
      <w:r>
        <w:rPr>
          <w:color w:val="auto"/>
          <w:highlight w:val="none"/>
        </w:rPr>
        <w:t>.</w:t>
      </w:r>
      <w:r>
        <w:rPr>
          <w:rFonts w:hint="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color w:val="auto"/>
          <w:highlight w:val="none"/>
        </w:rPr>
      </w:pPr>
      <w:r>
        <w:rPr>
          <w:rFonts w:hint="eastAsia"/>
          <w:color w:val="auto"/>
          <w:highlight w:val="none"/>
        </w:rPr>
        <w:t>7</w:t>
      </w:r>
      <w:r>
        <w:rPr>
          <w:color w:val="auto"/>
          <w:highlight w:val="none"/>
        </w:rPr>
        <w:t>.</w:t>
      </w:r>
      <w:r>
        <w:rPr>
          <w:rFonts w:hint="eastAsia"/>
          <w:color w:val="auto"/>
          <w:highlight w:val="none"/>
        </w:rPr>
        <w:t>乙方有虚假承诺，或经权威部门监测提供的货物不能满足竞争性谈判文件要求，或是由于乙方的过错造成合同无法继续履行的，应向甲方支付不少于合同总价</w:t>
      </w:r>
      <w:r>
        <w:rPr>
          <w:color w:val="auto"/>
          <w:highlight w:val="none"/>
        </w:rPr>
        <w:t>30%违约</w:t>
      </w:r>
      <w:r>
        <w:rPr>
          <w:rFonts w:hint="eastAsia"/>
          <w:color w:val="auto"/>
          <w:highlight w:val="none"/>
        </w:rPr>
        <w:t>金</w:t>
      </w:r>
      <w:r>
        <w:rPr>
          <w:color w:val="auto"/>
          <w:highlight w:val="none"/>
        </w:rPr>
        <w:t>，</w:t>
      </w:r>
      <w:r>
        <w:rPr>
          <w:rFonts w:hint="eastAsia"/>
          <w:color w:val="auto"/>
          <w:highlight w:val="none"/>
        </w:rPr>
        <w:t>若</w:t>
      </w:r>
      <w:r>
        <w:rPr>
          <w:color w:val="auto"/>
          <w:highlight w:val="none"/>
        </w:rPr>
        <w:t>该违约金</w:t>
      </w:r>
      <w:r>
        <w:rPr>
          <w:rFonts w:hint="eastAsia"/>
          <w:color w:val="auto"/>
          <w:highlight w:val="none"/>
        </w:rPr>
        <w:t>不足以</w:t>
      </w:r>
      <w:r>
        <w:rPr>
          <w:color w:val="auto"/>
          <w:highlight w:val="none"/>
        </w:rPr>
        <w:t>弥补甲方损失，</w:t>
      </w:r>
      <w:r>
        <w:rPr>
          <w:rFonts w:hint="eastAsia"/>
          <w:color w:val="auto"/>
          <w:highlight w:val="none"/>
        </w:rPr>
        <w:t>则应当</w:t>
      </w:r>
      <w:r>
        <w:rPr>
          <w:color w:val="auto"/>
          <w:highlight w:val="none"/>
        </w:rPr>
        <w:t>赔偿甲方所有损失</w:t>
      </w:r>
      <w:r>
        <w:rPr>
          <w:rFonts w:hint="eastAsia"/>
          <w:color w:val="auto"/>
          <w:highlight w:val="none"/>
        </w:rPr>
        <w:t>。</w:t>
      </w:r>
    </w:p>
    <w:p>
      <w:pPr>
        <w:spacing w:line="360" w:lineRule="exact"/>
        <w:ind w:firstLine="420" w:firstLineChars="200"/>
        <w:rPr>
          <w:color w:val="auto"/>
          <w:highlight w:val="none"/>
        </w:rPr>
      </w:pPr>
      <w:r>
        <w:rPr>
          <w:rFonts w:hint="eastAsia"/>
          <w:color w:val="auto"/>
          <w:highlight w:val="none"/>
        </w:rPr>
        <w:t>8</w:t>
      </w:r>
      <w:r>
        <w:rPr>
          <w:color w:val="auto"/>
          <w:highlight w:val="none"/>
        </w:rPr>
        <w:t>.</w:t>
      </w:r>
      <w:r>
        <w:rPr>
          <w:rFonts w:hint="eastAsia"/>
          <w:color w:val="auto"/>
          <w:highlight w:val="none"/>
        </w:rPr>
        <w:t>其他未尽事宜，以《中华人民共和国民法典》等有关法律法规规定为准，无相关规定的，双方协商解决。</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合同的变更和终止</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第十二条 合同的转让</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第十三条 不可抗力</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第十四条 </w:t>
      </w:r>
      <w:r>
        <w:rPr>
          <w:rFonts w:asciiTheme="minorEastAsia" w:hAnsiTheme="minorEastAsia" w:eastAsiaTheme="minorEastAsia"/>
          <w:b/>
          <w:color w:val="auto"/>
          <w:szCs w:val="21"/>
          <w:highlight w:val="none"/>
        </w:rPr>
        <w:t>质量问题或缺陷的</w:t>
      </w:r>
      <w:r>
        <w:rPr>
          <w:rFonts w:hint="eastAsia" w:asciiTheme="minorEastAsia" w:hAnsiTheme="minorEastAsia" w:eastAsiaTheme="minorEastAsia"/>
          <w:b/>
          <w:color w:val="auto"/>
          <w:szCs w:val="21"/>
          <w:highlight w:val="none"/>
        </w:rPr>
        <w:t>索赔</w:t>
      </w:r>
    </w:p>
    <w:p>
      <w:pPr>
        <w:adjustRightInd w:val="false"/>
        <w:snapToGrid w:val="false"/>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乙方</w:t>
      </w:r>
      <w:r>
        <w:rPr>
          <w:rFonts w:hint="eastAsia" w:asciiTheme="minorEastAsia" w:hAnsiTheme="minorEastAsia" w:eastAsiaTheme="minorEastAsia"/>
          <w:color w:val="auto"/>
          <w:szCs w:val="21"/>
          <w:highlight w:val="none"/>
        </w:rPr>
        <w:t>交付</w:t>
      </w:r>
      <w:r>
        <w:rPr>
          <w:rFonts w:asciiTheme="minorEastAsia" w:hAnsiTheme="minorEastAsia" w:eastAsiaTheme="minorEastAsia"/>
          <w:color w:val="auto"/>
          <w:szCs w:val="21"/>
          <w:highlight w:val="none"/>
        </w:rPr>
        <w:t>货物后，甲方发现</w:t>
      </w:r>
      <w:r>
        <w:rPr>
          <w:rFonts w:hint="eastAsia" w:asciiTheme="minorEastAsia" w:hAnsiTheme="minorEastAsia" w:eastAsiaTheme="minorEastAsia"/>
          <w:color w:val="auto"/>
          <w:szCs w:val="21"/>
          <w:highlight w:val="none"/>
        </w:rPr>
        <w:t>货物</w:t>
      </w:r>
      <w:r>
        <w:rPr>
          <w:rFonts w:asciiTheme="minorEastAsia" w:hAnsiTheme="minorEastAsia" w:eastAsiaTheme="minorEastAsia"/>
          <w:color w:val="auto"/>
          <w:szCs w:val="21"/>
          <w:highlight w:val="none"/>
        </w:rPr>
        <w:t>的</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与合同内容不符或证实</w:t>
      </w:r>
      <w:r>
        <w:rPr>
          <w:rFonts w:hint="eastAsia" w:asciiTheme="minorEastAsia" w:hAnsiTheme="minorEastAsia" w:eastAsiaTheme="minorEastAsia"/>
          <w:color w:val="auto"/>
          <w:szCs w:val="21"/>
          <w:highlight w:val="none"/>
        </w:rPr>
        <w:t>货物存在</w:t>
      </w:r>
      <w:r>
        <w:rPr>
          <w:rFonts w:asciiTheme="minorEastAsia" w:hAnsiTheme="minorEastAsia" w:eastAsiaTheme="minorEastAsia"/>
          <w:color w:val="auto"/>
          <w:szCs w:val="21"/>
          <w:highlight w:val="none"/>
        </w:rPr>
        <w:t>缺陷的</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包括潜在缺陷</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，乙方应在收到甲方索赔通知后3</w:t>
      </w:r>
      <w:r>
        <w:rPr>
          <w:rFonts w:hint="eastAsia" w:asciiTheme="minorEastAsia" w:hAnsiTheme="minorEastAsia" w:eastAsiaTheme="minorEastAsia"/>
          <w:color w:val="auto"/>
          <w:szCs w:val="21"/>
          <w:highlight w:val="none"/>
        </w:rPr>
        <w:t>日</w:t>
      </w:r>
      <w:r>
        <w:rPr>
          <w:rFonts w:asciiTheme="minorEastAsia" w:hAnsiTheme="minorEastAsia" w:eastAsiaTheme="minorEastAsia"/>
          <w:color w:val="auto"/>
          <w:szCs w:val="21"/>
          <w:highlight w:val="none"/>
        </w:rPr>
        <w:t>内到甲方</w:t>
      </w:r>
      <w:r>
        <w:rPr>
          <w:rFonts w:hint="eastAsia" w:asciiTheme="minorEastAsia" w:hAnsiTheme="minorEastAsia" w:eastAsiaTheme="minorEastAsia"/>
          <w:color w:val="auto"/>
          <w:szCs w:val="21"/>
          <w:highlight w:val="none"/>
        </w:rPr>
        <w:t>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商量</w:t>
      </w:r>
      <w:r>
        <w:rPr>
          <w:rFonts w:asciiTheme="minorEastAsia" w:hAnsiTheme="minorEastAsia" w:eastAsiaTheme="minorEastAsia"/>
          <w:color w:val="auto"/>
          <w:szCs w:val="21"/>
          <w:highlight w:val="none"/>
        </w:rPr>
        <w:t>解决货物</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或缺陷问题。若乙方未</w:t>
      </w:r>
      <w:r>
        <w:rPr>
          <w:rFonts w:hint="eastAsia" w:asciiTheme="minorEastAsia" w:hAnsiTheme="minorEastAsia" w:eastAsiaTheme="minorEastAsia"/>
          <w:color w:val="auto"/>
          <w:szCs w:val="21"/>
          <w:highlight w:val="none"/>
        </w:rPr>
        <w:t>在</w:t>
      </w:r>
      <w:r>
        <w:rPr>
          <w:rFonts w:asciiTheme="minorEastAsia" w:hAnsiTheme="minorEastAsia" w:eastAsiaTheme="minorEastAsia"/>
          <w:color w:val="auto"/>
          <w:szCs w:val="21"/>
          <w:highlight w:val="none"/>
        </w:rPr>
        <w:t>上述约定时间</w:t>
      </w:r>
      <w:r>
        <w:rPr>
          <w:rFonts w:hint="eastAsia" w:asciiTheme="minorEastAsia" w:hAnsiTheme="minorEastAsia" w:eastAsiaTheme="minorEastAsia"/>
          <w:color w:val="auto"/>
          <w:szCs w:val="21"/>
          <w:highlight w:val="none"/>
        </w:rPr>
        <w:t>内</w:t>
      </w:r>
      <w:r>
        <w:rPr>
          <w:rFonts w:asciiTheme="minorEastAsia" w:hAnsiTheme="minorEastAsia" w:eastAsiaTheme="minorEastAsia"/>
          <w:color w:val="auto"/>
          <w:szCs w:val="21"/>
          <w:highlight w:val="none"/>
        </w:rPr>
        <w:t>到场解决，</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产生的损失以及扩大损失全部由乙方承担，</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有权选择</w:t>
      </w:r>
      <w:r>
        <w:rPr>
          <w:rFonts w:hint="eastAsia" w:asciiTheme="minorEastAsia" w:hAnsiTheme="minorEastAsia" w:eastAsiaTheme="minorEastAsia"/>
          <w:color w:val="auto"/>
          <w:szCs w:val="21"/>
          <w:highlight w:val="none"/>
        </w:rPr>
        <w:t>解除</w:t>
      </w:r>
      <w:r>
        <w:rPr>
          <w:rFonts w:asciiTheme="minorEastAsia" w:hAnsiTheme="minorEastAsia" w:eastAsiaTheme="minorEastAsia"/>
          <w:color w:val="auto"/>
          <w:szCs w:val="21"/>
          <w:highlight w:val="none"/>
        </w:rPr>
        <w:t>合同，</w:t>
      </w:r>
      <w:r>
        <w:rPr>
          <w:rFonts w:hint="eastAsia" w:asciiTheme="minorEastAsia" w:hAnsiTheme="minorEastAsia" w:eastAsiaTheme="minorEastAsia"/>
          <w:color w:val="auto"/>
          <w:szCs w:val="21"/>
          <w:highlight w:val="none"/>
        </w:rPr>
        <w:t>要求退还</w:t>
      </w:r>
      <w:r>
        <w:rPr>
          <w:rFonts w:asciiTheme="minorEastAsia" w:hAnsiTheme="minorEastAsia" w:eastAsiaTheme="minorEastAsia"/>
          <w:color w:val="auto"/>
          <w:szCs w:val="21"/>
          <w:highlight w:val="none"/>
        </w:rPr>
        <w:t>全部货物，</w:t>
      </w:r>
      <w:r>
        <w:rPr>
          <w:rFonts w:hint="eastAsia" w:asciiTheme="minorEastAsia" w:hAnsiTheme="minorEastAsia" w:eastAsiaTheme="minorEastAsia"/>
          <w:color w:val="auto"/>
          <w:szCs w:val="21"/>
          <w:highlight w:val="none"/>
        </w:rPr>
        <w:t>返还</w:t>
      </w:r>
      <w:r>
        <w:rPr>
          <w:rFonts w:asciiTheme="minorEastAsia" w:hAnsiTheme="minorEastAsia" w:eastAsiaTheme="minorEastAsia"/>
          <w:color w:val="auto"/>
          <w:szCs w:val="21"/>
          <w:highlight w:val="none"/>
        </w:rPr>
        <w:t>所有货款，</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或者</w:t>
      </w:r>
      <w:r>
        <w:rPr>
          <w:rFonts w:asciiTheme="minorEastAsia" w:hAnsiTheme="minorEastAsia" w:eastAsiaTheme="minorEastAsia"/>
          <w:color w:val="auto"/>
          <w:szCs w:val="21"/>
          <w:highlight w:val="none"/>
        </w:rPr>
        <w:t>有权安排第三方</w:t>
      </w:r>
      <w:r>
        <w:rPr>
          <w:rFonts w:hint="eastAsia" w:asciiTheme="minorEastAsia" w:hAnsiTheme="minorEastAsia" w:eastAsiaTheme="minorEastAsia"/>
          <w:color w:val="auto"/>
          <w:szCs w:val="21"/>
          <w:highlight w:val="none"/>
        </w:rPr>
        <w:t>解决</w:t>
      </w:r>
      <w:r>
        <w:rPr>
          <w:rFonts w:asciiTheme="minorEastAsia" w:hAnsiTheme="minorEastAsia" w:eastAsiaTheme="minorEastAsia"/>
          <w:color w:val="auto"/>
          <w:szCs w:val="21"/>
          <w:highlight w:val="none"/>
        </w:rPr>
        <w:t>货物质量或缺陷问题，</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w:t>
      </w:r>
      <w:r>
        <w:rPr>
          <w:rFonts w:hint="eastAsia" w:asciiTheme="minorEastAsia" w:hAnsiTheme="minorEastAsia" w:eastAsiaTheme="minorEastAsia"/>
          <w:color w:val="auto"/>
          <w:szCs w:val="21"/>
          <w:highlight w:val="none"/>
        </w:rPr>
        <w:t>的</w:t>
      </w:r>
      <w:r>
        <w:rPr>
          <w:rFonts w:asciiTheme="minorEastAsia" w:hAnsiTheme="minorEastAsia" w:eastAsiaTheme="minorEastAsia"/>
          <w:color w:val="auto"/>
          <w:szCs w:val="21"/>
          <w:highlight w:val="none"/>
        </w:rPr>
        <w:t>所有费用全部由乙方承担，</w:t>
      </w:r>
      <w:r>
        <w:rPr>
          <w:rFonts w:hint="eastAsia" w:asciiTheme="minorEastAsia" w:hAnsiTheme="minorEastAsia" w:eastAsiaTheme="minorEastAsia"/>
          <w:color w:val="auto"/>
          <w:szCs w:val="21"/>
          <w:highlight w:val="none"/>
        </w:rPr>
        <w:t>甲方可以</w:t>
      </w:r>
      <w:r>
        <w:rPr>
          <w:rFonts w:asciiTheme="minorEastAsia" w:hAnsiTheme="minorEastAsia" w:eastAsiaTheme="minorEastAsia"/>
          <w:color w:val="auto"/>
          <w:szCs w:val="21"/>
          <w:highlight w:val="none"/>
        </w:rPr>
        <w:t>在应付乙方的货款中直接扣除，</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若上述违约金不足以弥补甲方直接损失和</w:t>
      </w:r>
      <w:r>
        <w:rPr>
          <w:rFonts w:hint="eastAsia" w:asciiTheme="minorEastAsia" w:hAnsiTheme="minorEastAsia" w:eastAsiaTheme="minorEastAsia"/>
          <w:color w:val="auto"/>
          <w:szCs w:val="21"/>
          <w:highlight w:val="none"/>
        </w:rPr>
        <w:t>间接</w:t>
      </w:r>
      <w:r>
        <w:rPr>
          <w:rFonts w:asciiTheme="minorEastAsia" w:hAnsiTheme="minorEastAsia" w:eastAsiaTheme="minorEastAsia"/>
          <w:color w:val="auto"/>
          <w:szCs w:val="21"/>
          <w:highlight w:val="none"/>
        </w:rPr>
        <w:t>损失，</w:t>
      </w:r>
      <w:r>
        <w:rPr>
          <w:rFonts w:hint="eastAsia" w:asciiTheme="minorEastAsia" w:hAnsiTheme="minorEastAsia" w:eastAsiaTheme="minorEastAsia"/>
          <w:color w:val="auto"/>
          <w:szCs w:val="21"/>
          <w:highlight w:val="none"/>
        </w:rPr>
        <w:t>则</w:t>
      </w:r>
      <w:r>
        <w:rPr>
          <w:rFonts w:asciiTheme="minorEastAsia" w:hAnsiTheme="minorEastAsia" w:eastAsiaTheme="minorEastAsia"/>
          <w:color w:val="auto"/>
          <w:szCs w:val="21"/>
          <w:highlight w:val="none"/>
        </w:rPr>
        <w:t>乙方应赔偿</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所有损失。</w:t>
      </w:r>
    </w:p>
    <w:p>
      <w:pPr>
        <w:adjustRightInd w:val="false"/>
        <w:snapToGrid w:val="false"/>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因主张上述权利</w:t>
      </w:r>
      <w:r>
        <w:rPr>
          <w:rFonts w:hint="eastAsia" w:asciiTheme="minorEastAsia" w:hAnsiTheme="minorEastAsia" w:eastAsiaTheme="minorEastAsia"/>
          <w:color w:val="auto"/>
          <w:szCs w:val="21"/>
          <w:highlight w:val="none"/>
        </w:rPr>
        <w:t>而</w:t>
      </w:r>
      <w:r>
        <w:rPr>
          <w:rFonts w:asciiTheme="minorEastAsia" w:hAnsiTheme="minorEastAsia" w:eastAsiaTheme="minorEastAsia"/>
          <w:color w:val="auto"/>
          <w:szCs w:val="21"/>
          <w:highlight w:val="none"/>
        </w:rPr>
        <w:t>支出的所有合理费用，</w:t>
      </w:r>
      <w:r>
        <w:rPr>
          <w:rFonts w:hint="eastAsia" w:asciiTheme="minorEastAsia" w:hAnsiTheme="minorEastAsia" w:eastAsiaTheme="minorEastAsia"/>
          <w:color w:val="auto"/>
          <w:szCs w:val="21"/>
          <w:highlight w:val="none"/>
        </w:rPr>
        <w:t>包括</w:t>
      </w:r>
      <w:r>
        <w:rPr>
          <w:rFonts w:asciiTheme="minorEastAsia" w:hAnsiTheme="minorEastAsia" w:eastAsiaTheme="minorEastAsia"/>
          <w:color w:val="auto"/>
          <w:szCs w:val="21"/>
          <w:highlight w:val="none"/>
        </w:rPr>
        <w:t>但不限于律师费、</w:t>
      </w:r>
      <w:r>
        <w:rPr>
          <w:rFonts w:hint="eastAsia" w:asciiTheme="minorEastAsia" w:hAnsiTheme="minorEastAsia" w:eastAsiaTheme="minorEastAsia"/>
          <w:color w:val="auto"/>
          <w:szCs w:val="21"/>
          <w:highlight w:val="none"/>
        </w:rPr>
        <w:t>诉讼费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鉴定费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差旅费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保函</w:t>
      </w:r>
      <w:r>
        <w:rPr>
          <w:rFonts w:asciiTheme="minorEastAsia" w:hAnsiTheme="minorEastAsia" w:eastAsiaTheme="minorEastAsia"/>
          <w:color w:val="auto"/>
          <w:szCs w:val="21"/>
          <w:highlight w:val="none"/>
        </w:rPr>
        <w:t>费等，</w:t>
      </w:r>
      <w:r>
        <w:rPr>
          <w:rFonts w:hint="eastAsia" w:asciiTheme="minorEastAsia" w:hAnsiTheme="minorEastAsia" w:eastAsiaTheme="minorEastAsia"/>
          <w:color w:val="auto"/>
          <w:szCs w:val="21"/>
          <w:highlight w:val="none"/>
        </w:rPr>
        <w:t>均由</w:t>
      </w:r>
      <w:r>
        <w:rPr>
          <w:rFonts w:asciiTheme="minorEastAsia" w:hAnsiTheme="minorEastAsia" w:eastAsiaTheme="minorEastAsia"/>
          <w:color w:val="auto"/>
          <w:szCs w:val="21"/>
          <w:highlight w:val="none"/>
        </w:rPr>
        <w:t>乙方承担。</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第十五条争议的解决</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2.因履行本合同引起的或与本合同有关的争议，甲、乙双方应首先通过友好协商解决，如果协商不能解决争议，则采取以下第（ ）种方式解决争议：</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3.在法院审理和仲裁期间，除有争议部分外，本合同其他部分应继续履行。</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第十六条 诚实信用 </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乙方应诚实信用，严格按照竞争性谈判文件要求和谈判承诺履行合同，不向甲方进行商业贿赂或者提供不正当利益。</w:t>
      </w:r>
    </w:p>
    <w:p>
      <w:pPr>
        <w:adjustRightInd w:val="false"/>
        <w:snapToGrid w:val="false"/>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第十七条 合同生效及其他</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1.本合同自经甲乙双方授权代表签订并加盖公章后，自签订之日起生效。见证方仅对甲乙双方签订合同的事实进行见证，不代表任何承诺或保证，该合同的履行等相关情况均与见证方无任何关系。</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ind w:firstLine="420"/>
        <w:rPr>
          <w:rFonts w:ascii="宋体" w:hAnsi="宋体" w:cs="宋体"/>
          <w:color w:val="auto"/>
          <w:szCs w:val="21"/>
          <w:highlight w:val="none"/>
        </w:rPr>
      </w:pPr>
    </w:p>
    <w:p>
      <w:pPr>
        <w:spacing w:line="400" w:lineRule="exact"/>
        <w:jc w:val="left"/>
        <w:rPr>
          <w:rFonts w:ascii="宋体" w:hAnsi="宋体" w:cs="宋体"/>
          <w:b/>
          <w:bCs/>
          <w:color w:val="auto"/>
          <w:szCs w:val="21"/>
          <w:highlight w:val="none"/>
        </w:rPr>
      </w:pPr>
    </w:p>
    <w:p>
      <w:pPr>
        <w:pStyle w:val="000035"/>
        <w:rPr>
          <w:color w:val="auto"/>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单位名称（章）：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单位地址：         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账号：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sectPr>
          <w:footerReference r:id="rId7" w:type="default"/>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highlight w:val="none"/>
        </w:rPr>
        <w:t>经办人：                               电  话：</w:t>
      </w:r>
    </w:p>
    <w:p>
      <w:pPr>
        <w:numPr>
          <w:ilvl w:val="0"/>
          <w:numId w:val="14"/>
        </w:num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一、本项目采用</w:t>
      </w:r>
      <w:r>
        <w:rPr>
          <w:rFonts w:hint="eastAsia" w:ascii="宋体" w:hAnsi="宋体"/>
          <w:b/>
          <w:bCs/>
          <w:color w:val="auto"/>
          <w:szCs w:val="21"/>
          <w:highlight w:val="none"/>
        </w:rPr>
        <w:t>最低评标价法</w:t>
      </w:r>
      <w:r>
        <w:rPr>
          <w:rFonts w:hint="eastAsia" w:ascii="宋体" w:hAnsi="宋体"/>
          <w:color w:val="auto"/>
          <w:szCs w:val="21"/>
          <w:highlight w:val="none"/>
        </w:rPr>
        <w:t>，谈判响应文件满足竞争性谈判文件全部实质性要求且最终报价最低的供应商为成交供应商。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spacing w:line="36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三、</w:t>
      </w:r>
      <w:r>
        <w:rPr>
          <w:rFonts w:hint="eastAsia" w:ascii="宋体" w:hAnsi="宋体"/>
          <w:color w:val="auto"/>
          <w:szCs w:val="21"/>
          <w:highlight w:val="none"/>
        </w:rPr>
        <w:t>对于小微企业进行价格扣除：对小型和微型企业的价格给予20%的扣除，用扣除后的价格参与评审。属于残疾人福利性单位的视同小微企业，给予价格扣除。</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四</w:t>
      </w:r>
      <w:r>
        <w:rPr>
          <w:rFonts w:hint="eastAsia" w:ascii="宋体" w:hAnsi="宋体"/>
          <w:color w:val="auto"/>
          <w:szCs w:val="21"/>
          <w:highlight w:val="none"/>
        </w:rPr>
        <w:t>、报价相同的，由采购人抽签决定成交供应商。</w:t>
      </w:r>
    </w:p>
    <w:p>
      <w:pPr>
        <w:spacing w:line="360" w:lineRule="exact"/>
        <w:ind w:firstLine="420" w:firstLineChars="200"/>
        <w:rPr>
          <w:rFonts w:ascii="宋体" w:hAnsi="宋体"/>
          <w:color w:val="auto"/>
          <w:szCs w:val="21"/>
          <w:highlight w:val="none"/>
        </w:rPr>
      </w:pPr>
    </w:p>
    <w:p>
      <w:pPr>
        <w:spacing w:line="360" w:lineRule="exact"/>
        <w:ind w:firstLine="411" w:firstLineChars="196"/>
        <w:rPr>
          <w:rFonts w:ascii="宋体" w:hAnsi="宋体"/>
          <w:color w:val="auto"/>
          <w:szCs w:val="21"/>
          <w:highlight w:val="none"/>
        </w:rPr>
        <w:sectPr>
          <w:headerReference r:id="rId8" w:type="default"/>
          <w:footerReference r:id="rId9"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000039"/>
        <w:spacing w:line="360" w:lineRule="exact"/>
        <w:rPr>
          <w:rFonts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尊敬的供应商及项目参与人：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为营造公正的市场环境，确保谈判工作规范有序开展，特将有关事项告知如下：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（一）接受供应商组织的宴请、旅游、娱乐等活动；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（二）与供应商或采购人恶意串通的；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（四）违规向关联参与人或供应商透露谈判或评审信息的；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26" w:name="OLE_LINK1"/>
      <w:r>
        <w:rPr>
          <w:rFonts w:hint="eastAsia" w:ascii="宋体" w:hAnsi="宋体"/>
          <w:color w:val="auto"/>
          <w:szCs w:val="21"/>
          <w:highlight w:val="none"/>
        </w:rPr>
        <w:t>在采购活动实施过程中，有吵闹、起哄、斗殴等行为，扰乱谈判现场或评审现场秩序的，以及在答疑、领取竞争性谈判文件、办理相关手续过程中扰乱正常办公秩序的；</w:t>
      </w:r>
    </w:p>
    <w:p>
      <w:pPr>
        <w:spacing w:line="360" w:lineRule="auto"/>
        <w:ind w:firstLine="420" w:firstLineChars="200"/>
        <w:rPr>
          <w:rFonts w:ascii="宋体" w:hAnsi="宋体"/>
          <w:color w:val="auto"/>
          <w:szCs w:val="21"/>
          <w:highlight w:val="none"/>
        </w:rPr>
      </w:pPr>
      <w:bookmarkEnd w:id="26"/>
      <w:r>
        <w:rPr>
          <w:rFonts w:hint="eastAsia" w:ascii="宋体" w:hAnsi="宋体"/>
          <w:color w:val="auto"/>
          <w:szCs w:val="21"/>
          <w:highlight w:val="none"/>
        </w:rPr>
        <w:t>（二）采取不正当手段诋毁、排挤其他供应商的；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投诉监督电话：0519-88818225</w:t>
      </w:r>
    </w:p>
    <w:p>
      <w:pPr>
        <w:pStyle w:val="000039"/>
        <w:spacing w:line="360" w:lineRule="exact"/>
        <w:rPr>
          <w:rFonts w:cs="宋体"/>
          <w:b/>
          <w:color w:val="auto"/>
          <w:sz w:val="28"/>
          <w:szCs w:val="28"/>
          <w:highlight w:val="none"/>
        </w:rPr>
      </w:pPr>
    </w:p>
    <w:p>
      <w:pPr>
        <w:pStyle w:val="00002e"/>
        <w:rPr>
          <w:color w:val="auto"/>
          <w:highlight w:val="none"/>
        </w:rPr>
        <w:sectPr>
          <w:footerReference r:id="rId10" w:type="default"/>
          <w:pgSz w:w="11906" w:h="16838"/>
          <w:pgMar w:top="1440" w:right="1800" w:bottom="1440" w:left="1800" w:header="851" w:footer="992" w:gutter="0"/>
          <w:cols w:space="425" w:num="1"/>
          <w:docGrid w:type="lines" w:linePitch="312" w:charSpace="0"/>
        </w:sectPr>
      </w:pPr>
    </w:p>
    <w:p>
      <w:pPr>
        <w:pStyle w:val="000039"/>
        <w:spacing w:line="360" w:lineRule="exact"/>
        <w:rPr>
          <w:rFonts w:cs="宋体"/>
          <w:b/>
          <w:color w:val="auto"/>
          <w:sz w:val="32"/>
          <w:highlight w:val="none"/>
        </w:rPr>
      </w:pPr>
      <w:r>
        <w:rPr>
          <w:rFonts w:hint="eastAsia" w:cs="宋体"/>
          <w:b/>
          <w:color w:val="auto"/>
          <w:sz w:val="28"/>
          <w:szCs w:val="28"/>
          <w:highlight w:val="none"/>
        </w:rPr>
        <w:t>1.谈判响应函</w:t>
      </w:r>
    </w:p>
    <w:p>
      <w:pPr>
        <w:pStyle w:val="00002e"/>
        <w:rPr>
          <w:rFonts w:ascii="宋体" w:hAnsi="宋体" w:cs="宋体"/>
          <w:color w:val="auto"/>
          <w:highlight w:val="none"/>
        </w:rPr>
      </w:pPr>
    </w:p>
    <w:p>
      <w:pPr>
        <w:pStyle w:val="000039"/>
        <w:spacing w:line="360" w:lineRule="exact"/>
        <w:jc w:val="center"/>
        <w:rPr>
          <w:rFonts w:cs="宋体"/>
          <w:b/>
          <w:color w:val="auto"/>
          <w:sz w:val="28"/>
          <w:szCs w:val="28"/>
          <w:highlight w:val="none"/>
        </w:rPr>
      </w:pPr>
      <w:r>
        <w:rPr>
          <w:rFonts w:hint="eastAsia" w:cs="宋体"/>
          <w:b/>
          <w:color w:val="auto"/>
          <w:sz w:val="28"/>
          <w:szCs w:val="28"/>
          <w:highlight w:val="none"/>
        </w:rPr>
        <w:t>谈判响应函</w:t>
      </w:r>
    </w:p>
    <w:p>
      <w:pPr>
        <w:pStyle w:val="000039"/>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常州市公安局、江苏尚阳工程管理有限公司 ：</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号”谈判文件后，经仔细阅读和研究，我单位决定参加本项目的竞争性谈判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提供竞争性谈判文件中要求的所有资料，并保证完全真实准确，若有虚假和违背，我单位愿意承担由此而产生的一切后果。</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false"/>
        <w:snapToGrid w:val="false"/>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0天。</w:t>
      </w:r>
    </w:p>
    <w:p>
      <w:pPr>
        <w:pStyle w:val="000039"/>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color w:val="auto"/>
          <w:sz w:val="21"/>
          <w:szCs w:val="21"/>
          <w:highlight w:val="none"/>
        </w:rPr>
        <w:t>我单位愿意按竞争性谈判文件规定的各项要求，向采购人提供所需货物与服务。</w:t>
      </w:r>
      <w:r>
        <w:rPr>
          <w:rFonts w:hint="eastAsia" w:asciiTheme="minorEastAsia" w:hAnsiTheme="minorEastAsia" w:eastAsiaTheme="minorEastAsia"/>
          <w:color w:val="auto"/>
          <w:sz w:val="21"/>
          <w:szCs w:val="21"/>
          <w:highlight w:val="none"/>
        </w:rPr>
        <w:t>谈判报价应包括但不限于本项的目供货、包装、运输、保险、安装调试、管理、维护、劳务、培训、验收、办公设备、设备、工具、耗材、运送工具及耗材、利润、风险、税金及政策性文件规定等各项应有费用都由供应商承担，采购人不再支付其他任何费用。</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我单位愿意遵守竞争性谈判文件中所列的收费标准，按竞争性谈判文件的规定交纳谈判保证金；若我单位成交，我单位愿意按竞争性谈判文件中的规定支付成交服务费。</w:t>
      </w:r>
    </w:p>
    <w:p>
      <w:pPr>
        <w:pStyle w:val="00003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8.如果我单位的谈判响应文件被接受，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严格履行竞争性谈判文件中规定的每一项要求，按期、按质、按量履行合同的义务。</w:t>
      </w:r>
    </w:p>
    <w:p>
      <w:pPr>
        <w:pStyle w:val="000039"/>
        <w:spacing w:line="360" w:lineRule="exact"/>
        <w:ind w:firstLine="405"/>
        <w:rPr>
          <w:rFonts w:cs="宋体"/>
          <w:color w:val="auto"/>
          <w:sz w:val="21"/>
          <w:szCs w:val="21"/>
          <w:highlight w:val="none"/>
        </w:rPr>
      </w:pPr>
      <w:r>
        <w:rPr>
          <w:rFonts w:hint="eastAsia" w:cs="宋体"/>
          <w:color w:val="auto"/>
          <w:sz w:val="21"/>
          <w:szCs w:val="21"/>
          <w:highlight w:val="none"/>
        </w:rPr>
        <w:t>9.与本次谈判有关的正式通讯地址为：</w:t>
      </w:r>
    </w:p>
    <w:p>
      <w:pPr>
        <w:pStyle w:val="000039"/>
        <w:spacing w:line="360" w:lineRule="exact"/>
        <w:jc w:val="left"/>
        <w:rPr>
          <w:rFonts w:cs="宋体"/>
          <w:color w:val="auto"/>
          <w:sz w:val="21"/>
          <w:szCs w:val="21"/>
          <w:highlight w:val="none"/>
        </w:rPr>
      </w:pPr>
    </w:p>
    <w:p>
      <w:pPr>
        <w:pStyle w:val="000039"/>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000039"/>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000039"/>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000039"/>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000039"/>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000039"/>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00002e"/>
        <w:rPr>
          <w:color w:val="auto"/>
          <w:highlight w:val="none"/>
        </w:rPr>
      </w:pPr>
    </w:p>
    <w:p>
      <w:pPr>
        <w:rPr>
          <w:color w:val="auto"/>
          <w:highlight w:val="none"/>
        </w:rPr>
      </w:pPr>
    </w:p>
    <w:p>
      <w:pPr>
        <w:pStyle w:val="000039"/>
        <w:spacing w:line="360" w:lineRule="exact"/>
        <w:rPr>
          <w:rFonts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000039"/>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的工作，签署上述项目的谈判响应文件、进行合同谈判、签署合同和处理与之有关的一切事务。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false"/>
        <w:spacing w:line="360" w:lineRule="auto"/>
        <w:ind w:left="210" w:hanging="210" w:hangingChars="100"/>
        <w:rPr>
          <w:rFonts w:ascii="宋体" w:hAnsi="宋体"/>
          <w:color w:val="auto"/>
          <w:szCs w:val="21"/>
          <w:highlight w:val="none"/>
        </w:rPr>
      </w:pPr>
    </w:p>
    <w:p>
      <w:pPr>
        <w:snapToGrid w:val="false"/>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false"/>
        <w:spacing w:line="360" w:lineRule="auto"/>
        <w:rPr>
          <w:rFonts w:ascii="宋体" w:hAnsi="宋体"/>
          <w:color w:val="auto"/>
          <w:szCs w:val="21"/>
          <w:highlight w:val="none"/>
        </w:rPr>
      </w:pPr>
    </w:p>
    <w:p>
      <w:pPr>
        <w:snapToGrid w:val="false"/>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false"/>
        <w:spacing w:line="360" w:lineRule="auto"/>
        <w:rPr>
          <w:rFonts w:ascii="宋体" w:hAnsi="宋体"/>
          <w:b/>
          <w:color w:val="auto"/>
          <w:sz w:val="24"/>
          <w:szCs w:val="28"/>
          <w:highlight w:val="none"/>
        </w:rPr>
      </w:pPr>
    </w:p>
    <w:p>
      <w:pPr>
        <w:snapToGrid w:val="false"/>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000039"/>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false"/>
        <w:snapToGrid w:val="false"/>
        <w:spacing w:line="360" w:lineRule="auto"/>
        <w:ind w:firstLine="516" w:firstLineChars="215"/>
        <w:rPr>
          <w:rFonts w:ascii="宋体" w:hAnsi="宋体" w:cs="宋体"/>
          <w:color w:val="auto"/>
          <w:sz w:val="24"/>
          <w:szCs w:val="24"/>
          <w:highlight w:val="none"/>
        </w:rPr>
      </w:pPr>
    </w:p>
    <w:p>
      <w:pPr>
        <w:adjustRightInd w:val="false"/>
        <w:snapToGrid w:val="false"/>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false"/>
        <w:snapToGrid w:val="false"/>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false"/>
        <w:snapToGrid w:val="false"/>
        <w:spacing w:line="360" w:lineRule="auto"/>
        <w:rPr>
          <w:rFonts w:ascii="宋体" w:hAnsi="宋体" w:cs="宋体"/>
          <w:color w:val="auto"/>
          <w:sz w:val="24"/>
          <w:szCs w:val="24"/>
          <w:highlight w:val="none"/>
        </w:rPr>
      </w:pPr>
    </w:p>
    <w:p>
      <w:pPr>
        <w:adjustRightInd w:val="false"/>
        <w:snapToGrid w:val="false"/>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outlineLvl w:val="1"/>
        <w:rPr>
          <w:rFonts w:ascii="宋体" w:hAnsi="宋体" w:cs="宋体"/>
          <w:b/>
          <w:color w:val="auto"/>
          <w:sz w:val="28"/>
          <w:szCs w:val="28"/>
          <w:highlight w:val="none"/>
        </w:rPr>
        <w:sectPr>
          <w:pgSz w:w="11906" w:h="16838"/>
          <w:pgMar w:top="1440" w:right="1800" w:bottom="1440" w:left="1800" w:header="851" w:footer="992" w:gutter="0"/>
          <w:cols w:space="720"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0000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tcPr>
          <w:p>
            <w:pPr>
              <w:widowControl/>
              <w:jc w:val="left"/>
              <w:rPr>
                <w:rFonts w:ascii="宋体" w:hAnsi="宋体"/>
                <w:color w:val="auto"/>
                <w:szCs w:val="21"/>
                <w:highlight w:val="none"/>
              </w:rPr>
            </w:pPr>
          </w:p>
        </w:tc>
      </w:tr>
      <w:tr>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tcPr>
          <w:p>
            <w:pPr>
              <w:widowControl/>
              <w:jc w:val="left"/>
              <w:rPr>
                <w:rFonts w:ascii="宋体" w:hAnsi="宋体"/>
                <w:color w:val="auto"/>
                <w:szCs w:val="21"/>
                <w:highlight w:val="none"/>
              </w:rPr>
            </w:pPr>
          </w:p>
        </w:tc>
      </w:tr>
      <w:tr>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谈判报价</w:t>
            </w:r>
          </w:p>
        </w:tc>
        <w:tc>
          <w:tcPr>
            <w:tcW w:w="6662" w:type="dxa"/>
          </w:tcPr>
          <w:p>
            <w:pPr>
              <w:widowControl/>
              <w:jc w:val="center"/>
              <w:rPr>
                <w:rFonts w:ascii="宋体" w:hAnsi="宋体"/>
                <w:color w:val="auto"/>
                <w:szCs w:val="21"/>
                <w:highlight w:val="none"/>
              </w:rPr>
            </w:pPr>
            <w:r>
              <w:rPr>
                <w:rFonts w:hint="eastAsia" w:cs="宋体" w:asciiTheme="minorEastAsia" w:hAnsiTheme="minorEastAsia" w:eastAsiaTheme="minorEastAsia"/>
                <w:color w:val="auto"/>
                <w:szCs w:val="21"/>
                <w:highlight w:val="none"/>
              </w:rPr>
              <w:t>元</w:t>
            </w:r>
          </w:p>
        </w:tc>
      </w:tr>
      <w:tr>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谈判分项报价表</w:t>
      </w:r>
    </w:p>
    <w:p>
      <w:pPr>
        <w:snapToGrid w:val="false"/>
        <w:spacing w:line="360" w:lineRule="exact"/>
        <w:rPr>
          <w:rFonts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w:t>
      </w:r>
    </w:p>
    <w:p>
      <w:pPr>
        <w:snapToGrid w:val="false"/>
        <w:spacing w:line="360" w:lineRule="exact"/>
        <w:rPr>
          <w:rFonts w:ascii="宋体" w:hAnsi="宋体" w:cs="宋体"/>
          <w:color w:val="auto"/>
          <w:kern w:val="0"/>
          <w:szCs w:val="21"/>
          <w:highlight w:val="none"/>
        </w:rPr>
      </w:pPr>
    </w:p>
    <w:tbl>
      <w:tblPr>
        <w:tblStyle w:val="0000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rPr>
          <w:cantSplit/>
          <w:trHeight w:val="285" w:hRule="atLeast"/>
          <w:jc w:val="center"/>
        </w:trPr>
        <w:tc>
          <w:tcPr>
            <w:tcW w:w="670"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设备</w:t>
            </w:r>
          </w:p>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供应商人民币价格（元）</w:t>
            </w:r>
          </w:p>
        </w:tc>
      </w:tr>
      <w:tr>
        <w:trPr>
          <w:cantSplit/>
          <w:trHeight w:val="285" w:hRule="atLeast"/>
          <w:jc w:val="center"/>
        </w:trPr>
        <w:tc>
          <w:tcPr>
            <w:tcW w:w="670"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false"/>
              <w:spacing w:line="360" w:lineRule="auto"/>
              <w:jc w:val="center"/>
              <w:rPr>
                <w:rFonts w:ascii="宋体" w:hAnsi="宋体" w:cs="Arial"/>
                <w:color w:val="auto"/>
                <w:kern w:val="0"/>
                <w:szCs w:val="21"/>
                <w:highlight w:val="none"/>
              </w:rPr>
            </w:pPr>
          </w:p>
        </w:tc>
        <w:tc>
          <w:tcPr>
            <w:tcW w:w="919"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rPr>
          <w:trHeight w:val="480" w:hRule="atLeast"/>
          <w:jc w:val="center"/>
        </w:trPr>
        <w:tc>
          <w:tcPr>
            <w:tcW w:w="670"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false"/>
              <w:spacing w:line="360" w:lineRule="auto"/>
              <w:jc w:val="center"/>
              <w:rPr>
                <w:rFonts w:ascii="宋体" w:hAnsi="宋体" w:cs="Arial"/>
                <w:b/>
                <w:bCs/>
                <w:color w:val="auto"/>
                <w:kern w:val="0"/>
                <w:szCs w:val="21"/>
                <w:highlight w:val="none"/>
              </w:rPr>
            </w:pPr>
          </w:p>
        </w:tc>
        <w:tc>
          <w:tcPr>
            <w:tcW w:w="780" w:type="dxa"/>
            <w:vAlign w:val="center"/>
          </w:tcPr>
          <w:p>
            <w:pPr>
              <w:widowControl/>
              <w:snapToGrid w:val="false"/>
              <w:spacing w:line="360" w:lineRule="auto"/>
              <w:jc w:val="center"/>
              <w:rPr>
                <w:rFonts w:ascii="宋体" w:hAnsi="宋体" w:cs="Arial"/>
                <w:color w:val="auto"/>
                <w:kern w:val="0"/>
                <w:szCs w:val="21"/>
                <w:highlight w:val="none"/>
              </w:rPr>
            </w:pPr>
          </w:p>
        </w:tc>
        <w:tc>
          <w:tcPr>
            <w:tcW w:w="1117" w:type="dxa"/>
            <w:vAlign w:val="center"/>
          </w:tcPr>
          <w:p>
            <w:pPr>
              <w:widowControl/>
              <w:snapToGrid w:val="false"/>
              <w:spacing w:line="360" w:lineRule="auto"/>
              <w:jc w:val="center"/>
              <w:rPr>
                <w:rFonts w:ascii="宋体" w:hAnsi="宋体" w:cs="Arial"/>
                <w:color w:val="auto"/>
                <w:kern w:val="0"/>
                <w:szCs w:val="21"/>
                <w:highlight w:val="none"/>
              </w:rPr>
            </w:pPr>
          </w:p>
        </w:tc>
        <w:tc>
          <w:tcPr>
            <w:tcW w:w="1799" w:type="dxa"/>
            <w:vAlign w:val="center"/>
          </w:tcPr>
          <w:p>
            <w:pPr>
              <w:widowControl/>
              <w:snapToGrid w:val="false"/>
              <w:spacing w:line="360" w:lineRule="auto"/>
              <w:jc w:val="center"/>
              <w:rPr>
                <w:rFonts w:ascii="宋体" w:hAnsi="宋体" w:cs="Arial"/>
                <w:color w:val="auto"/>
                <w:kern w:val="0"/>
                <w:szCs w:val="21"/>
                <w:highlight w:val="none"/>
              </w:rPr>
            </w:pPr>
          </w:p>
        </w:tc>
        <w:tc>
          <w:tcPr>
            <w:tcW w:w="613" w:type="dxa"/>
            <w:vAlign w:val="center"/>
          </w:tcPr>
          <w:p>
            <w:pPr>
              <w:widowControl/>
              <w:snapToGrid w:val="false"/>
              <w:spacing w:line="360" w:lineRule="auto"/>
              <w:jc w:val="center"/>
              <w:rPr>
                <w:rFonts w:ascii="宋体" w:hAnsi="宋体" w:cs="Arial"/>
                <w:color w:val="auto"/>
                <w:kern w:val="0"/>
                <w:szCs w:val="21"/>
                <w:highlight w:val="none"/>
              </w:rPr>
            </w:pPr>
          </w:p>
        </w:tc>
        <w:tc>
          <w:tcPr>
            <w:tcW w:w="618" w:type="dxa"/>
            <w:vAlign w:val="center"/>
          </w:tcPr>
          <w:p>
            <w:pPr>
              <w:widowControl/>
              <w:snapToGrid w:val="false"/>
              <w:spacing w:line="360" w:lineRule="auto"/>
              <w:jc w:val="center"/>
              <w:rPr>
                <w:rFonts w:ascii="宋体" w:hAnsi="宋体" w:cs="Arial"/>
                <w:color w:val="auto"/>
                <w:kern w:val="0"/>
                <w:szCs w:val="21"/>
                <w:highlight w:val="none"/>
              </w:rPr>
            </w:pPr>
          </w:p>
        </w:tc>
        <w:tc>
          <w:tcPr>
            <w:tcW w:w="919" w:type="dxa"/>
            <w:vAlign w:val="center"/>
          </w:tcPr>
          <w:p>
            <w:pPr>
              <w:widowControl/>
              <w:snapToGrid w:val="false"/>
              <w:spacing w:line="360" w:lineRule="auto"/>
              <w:jc w:val="center"/>
              <w:rPr>
                <w:rFonts w:ascii="宋体" w:hAnsi="宋体" w:cs="Arial"/>
                <w:color w:val="auto"/>
                <w:kern w:val="0"/>
                <w:szCs w:val="21"/>
                <w:highlight w:val="none"/>
              </w:rPr>
            </w:pPr>
          </w:p>
        </w:tc>
        <w:tc>
          <w:tcPr>
            <w:tcW w:w="1072" w:type="dxa"/>
            <w:vAlign w:val="center"/>
          </w:tcPr>
          <w:p>
            <w:pPr>
              <w:widowControl/>
              <w:snapToGrid w:val="false"/>
              <w:spacing w:line="360" w:lineRule="auto"/>
              <w:jc w:val="center"/>
              <w:rPr>
                <w:rFonts w:ascii="宋体" w:hAnsi="宋体" w:cs="Arial"/>
                <w:color w:val="auto"/>
                <w:kern w:val="0"/>
                <w:szCs w:val="21"/>
                <w:highlight w:val="none"/>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false"/>
              <w:spacing w:line="360" w:lineRule="auto"/>
              <w:jc w:val="center"/>
              <w:rPr>
                <w:rFonts w:ascii="宋体" w:hAnsi="宋体" w:cs="Arial"/>
                <w:b/>
                <w:bCs/>
                <w:color w:val="auto"/>
                <w:kern w:val="0"/>
                <w:szCs w:val="21"/>
                <w:highlight w:val="none"/>
              </w:rPr>
            </w:pPr>
          </w:p>
        </w:tc>
        <w:tc>
          <w:tcPr>
            <w:tcW w:w="780" w:type="dxa"/>
            <w:vAlign w:val="center"/>
          </w:tcPr>
          <w:p>
            <w:pPr>
              <w:widowControl/>
              <w:snapToGrid w:val="false"/>
              <w:spacing w:line="360" w:lineRule="auto"/>
              <w:jc w:val="center"/>
              <w:rPr>
                <w:rFonts w:ascii="宋体" w:hAnsi="宋体" w:cs="Arial"/>
                <w:color w:val="auto"/>
                <w:kern w:val="0"/>
                <w:szCs w:val="21"/>
                <w:highlight w:val="none"/>
              </w:rPr>
            </w:pPr>
          </w:p>
        </w:tc>
        <w:tc>
          <w:tcPr>
            <w:tcW w:w="1117" w:type="dxa"/>
            <w:vAlign w:val="center"/>
          </w:tcPr>
          <w:p>
            <w:pPr>
              <w:widowControl/>
              <w:snapToGrid w:val="false"/>
              <w:spacing w:line="360" w:lineRule="auto"/>
              <w:jc w:val="center"/>
              <w:rPr>
                <w:rFonts w:ascii="宋体" w:hAnsi="宋体" w:cs="Arial"/>
                <w:color w:val="auto"/>
                <w:kern w:val="0"/>
                <w:szCs w:val="21"/>
                <w:highlight w:val="none"/>
              </w:rPr>
            </w:pPr>
          </w:p>
        </w:tc>
        <w:tc>
          <w:tcPr>
            <w:tcW w:w="1799" w:type="dxa"/>
            <w:vAlign w:val="center"/>
          </w:tcPr>
          <w:p>
            <w:pPr>
              <w:widowControl/>
              <w:snapToGrid w:val="false"/>
              <w:spacing w:line="360" w:lineRule="auto"/>
              <w:jc w:val="center"/>
              <w:rPr>
                <w:rFonts w:ascii="宋体" w:hAnsi="宋体" w:cs="Arial"/>
                <w:color w:val="auto"/>
                <w:kern w:val="0"/>
                <w:szCs w:val="21"/>
                <w:highlight w:val="none"/>
              </w:rPr>
            </w:pPr>
          </w:p>
        </w:tc>
        <w:tc>
          <w:tcPr>
            <w:tcW w:w="613" w:type="dxa"/>
            <w:vAlign w:val="center"/>
          </w:tcPr>
          <w:p>
            <w:pPr>
              <w:widowControl/>
              <w:snapToGrid w:val="false"/>
              <w:spacing w:line="360" w:lineRule="auto"/>
              <w:jc w:val="center"/>
              <w:rPr>
                <w:rFonts w:ascii="宋体" w:hAnsi="宋体" w:cs="Arial"/>
                <w:color w:val="auto"/>
                <w:kern w:val="0"/>
                <w:szCs w:val="21"/>
                <w:highlight w:val="none"/>
              </w:rPr>
            </w:pPr>
          </w:p>
        </w:tc>
        <w:tc>
          <w:tcPr>
            <w:tcW w:w="618" w:type="dxa"/>
            <w:vAlign w:val="center"/>
          </w:tcPr>
          <w:p>
            <w:pPr>
              <w:widowControl/>
              <w:snapToGrid w:val="false"/>
              <w:spacing w:line="360" w:lineRule="auto"/>
              <w:jc w:val="center"/>
              <w:rPr>
                <w:rFonts w:ascii="宋体" w:hAnsi="宋体" w:cs="Arial"/>
                <w:color w:val="auto"/>
                <w:kern w:val="0"/>
                <w:szCs w:val="21"/>
                <w:highlight w:val="none"/>
              </w:rPr>
            </w:pPr>
          </w:p>
        </w:tc>
        <w:tc>
          <w:tcPr>
            <w:tcW w:w="919" w:type="dxa"/>
            <w:vAlign w:val="center"/>
          </w:tcPr>
          <w:p>
            <w:pPr>
              <w:widowControl/>
              <w:snapToGrid w:val="false"/>
              <w:spacing w:line="360" w:lineRule="auto"/>
              <w:jc w:val="center"/>
              <w:rPr>
                <w:rFonts w:ascii="宋体" w:hAnsi="宋体" w:cs="Arial"/>
                <w:color w:val="auto"/>
                <w:kern w:val="0"/>
                <w:szCs w:val="21"/>
                <w:highlight w:val="none"/>
              </w:rPr>
            </w:pPr>
          </w:p>
        </w:tc>
        <w:tc>
          <w:tcPr>
            <w:tcW w:w="1072" w:type="dxa"/>
            <w:vAlign w:val="center"/>
          </w:tcPr>
          <w:p>
            <w:pPr>
              <w:widowControl/>
              <w:snapToGrid w:val="false"/>
              <w:spacing w:line="360" w:lineRule="auto"/>
              <w:jc w:val="center"/>
              <w:rPr>
                <w:rFonts w:ascii="宋体" w:hAnsi="宋体" w:cs="Arial"/>
                <w:color w:val="auto"/>
                <w:kern w:val="0"/>
                <w:szCs w:val="21"/>
                <w:highlight w:val="none"/>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false"/>
              <w:spacing w:line="360" w:lineRule="auto"/>
              <w:jc w:val="center"/>
              <w:rPr>
                <w:rFonts w:ascii="宋体" w:hAnsi="宋体" w:cs="Arial"/>
                <w:b/>
                <w:bCs/>
                <w:color w:val="auto"/>
                <w:kern w:val="0"/>
                <w:szCs w:val="21"/>
                <w:highlight w:val="none"/>
              </w:rPr>
            </w:pPr>
          </w:p>
        </w:tc>
        <w:tc>
          <w:tcPr>
            <w:tcW w:w="780" w:type="dxa"/>
            <w:vAlign w:val="center"/>
          </w:tcPr>
          <w:p>
            <w:pPr>
              <w:widowControl/>
              <w:snapToGrid w:val="false"/>
              <w:spacing w:line="360" w:lineRule="auto"/>
              <w:jc w:val="center"/>
              <w:rPr>
                <w:rFonts w:ascii="宋体" w:hAnsi="宋体" w:cs="Arial"/>
                <w:color w:val="auto"/>
                <w:kern w:val="0"/>
                <w:szCs w:val="21"/>
                <w:highlight w:val="none"/>
              </w:rPr>
            </w:pPr>
          </w:p>
        </w:tc>
        <w:tc>
          <w:tcPr>
            <w:tcW w:w="1117" w:type="dxa"/>
            <w:vAlign w:val="center"/>
          </w:tcPr>
          <w:p>
            <w:pPr>
              <w:widowControl/>
              <w:snapToGrid w:val="false"/>
              <w:spacing w:line="360" w:lineRule="auto"/>
              <w:jc w:val="center"/>
              <w:rPr>
                <w:rFonts w:ascii="宋体" w:hAnsi="宋体" w:cs="Arial"/>
                <w:color w:val="auto"/>
                <w:kern w:val="0"/>
                <w:szCs w:val="21"/>
                <w:highlight w:val="none"/>
              </w:rPr>
            </w:pPr>
          </w:p>
        </w:tc>
        <w:tc>
          <w:tcPr>
            <w:tcW w:w="1799" w:type="dxa"/>
            <w:vAlign w:val="center"/>
          </w:tcPr>
          <w:p>
            <w:pPr>
              <w:widowControl/>
              <w:snapToGrid w:val="false"/>
              <w:spacing w:line="360" w:lineRule="auto"/>
              <w:jc w:val="center"/>
              <w:rPr>
                <w:rFonts w:ascii="宋体" w:hAnsi="宋体" w:cs="Arial"/>
                <w:color w:val="auto"/>
                <w:kern w:val="0"/>
                <w:szCs w:val="21"/>
                <w:highlight w:val="none"/>
              </w:rPr>
            </w:pPr>
          </w:p>
        </w:tc>
        <w:tc>
          <w:tcPr>
            <w:tcW w:w="613" w:type="dxa"/>
            <w:vAlign w:val="center"/>
          </w:tcPr>
          <w:p>
            <w:pPr>
              <w:widowControl/>
              <w:snapToGrid w:val="false"/>
              <w:spacing w:line="360" w:lineRule="auto"/>
              <w:jc w:val="center"/>
              <w:rPr>
                <w:rFonts w:ascii="宋体" w:hAnsi="宋体" w:cs="Arial"/>
                <w:color w:val="auto"/>
                <w:kern w:val="0"/>
                <w:szCs w:val="21"/>
                <w:highlight w:val="none"/>
              </w:rPr>
            </w:pPr>
          </w:p>
        </w:tc>
        <w:tc>
          <w:tcPr>
            <w:tcW w:w="618" w:type="dxa"/>
            <w:vAlign w:val="center"/>
          </w:tcPr>
          <w:p>
            <w:pPr>
              <w:widowControl/>
              <w:snapToGrid w:val="false"/>
              <w:spacing w:line="360" w:lineRule="auto"/>
              <w:jc w:val="center"/>
              <w:rPr>
                <w:rFonts w:ascii="宋体" w:hAnsi="宋体" w:cs="Arial"/>
                <w:color w:val="auto"/>
                <w:kern w:val="0"/>
                <w:szCs w:val="21"/>
                <w:highlight w:val="none"/>
              </w:rPr>
            </w:pPr>
          </w:p>
        </w:tc>
        <w:tc>
          <w:tcPr>
            <w:tcW w:w="919" w:type="dxa"/>
            <w:vAlign w:val="center"/>
          </w:tcPr>
          <w:p>
            <w:pPr>
              <w:widowControl/>
              <w:snapToGrid w:val="false"/>
              <w:spacing w:line="360" w:lineRule="auto"/>
              <w:jc w:val="center"/>
              <w:rPr>
                <w:rFonts w:ascii="宋体" w:hAnsi="宋体" w:cs="Arial"/>
                <w:color w:val="auto"/>
                <w:kern w:val="0"/>
                <w:szCs w:val="21"/>
                <w:highlight w:val="none"/>
              </w:rPr>
            </w:pPr>
          </w:p>
        </w:tc>
        <w:tc>
          <w:tcPr>
            <w:tcW w:w="1072" w:type="dxa"/>
            <w:vAlign w:val="center"/>
          </w:tcPr>
          <w:p>
            <w:pPr>
              <w:widowControl/>
              <w:snapToGrid w:val="false"/>
              <w:spacing w:line="360" w:lineRule="auto"/>
              <w:jc w:val="center"/>
              <w:rPr>
                <w:rFonts w:ascii="宋体" w:hAnsi="宋体" w:cs="Arial"/>
                <w:color w:val="auto"/>
                <w:kern w:val="0"/>
                <w:szCs w:val="21"/>
                <w:highlight w:val="none"/>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false"/>
              <w:spacing w:line="360" w:lineRule="auto"/>
              <w:jc w:val="center"/>
              <w:rPr>
                <w:rFonts w:ascii="宋体" w:hAnsi="宋体" w:cs="Arial"/>
                <w:b/>
                <w:bCs/>
                <w:color w:val="auto"/>
                <w:kern w:val="0"/>
                <w:szCs w:val="21"/>
                <w:highlight w:val="none"/>
              </w:rPr>
            </w:pPr>
          </w:p>
        </w:tc>
        <w:tc>
          <w:tcPr>
            <w:tcW w:w="780" w:type="dxa"/>
            <w:vAlign w:val="center"/>
          </w:tcPr>
          <w:p>
            <w:pPr>
              <w:widowControl/>
              <w:snapToGrid w:val="false"/>
              <w:spacing w:line="360" w:lineRule="auto"/>
              <w:jc w:val="center"/>
              <w:rPr>
                <w:rFonts w:ascii="宋体" w:hAnsi="宋体" w:cs="Arial"/>
                <w:color w:val="auto"/>
                <w:kern w:val="0"/>
                <w:szCs w:val="21"/>
                <w:highlight w:val="none"/>
              </w:rPr>
            </w:pPr>
          </w:p>
        </w:tc>
        <w:tc>
          <w:tcPr>
            <w:tcW w:w="1117" w:type="dxa"/>
            <w:vAlign w:val="center"/>
          </w:tcPr>
          <w:p>
            <w:pPr>
              <w:widowControl/>
              <w:snapToGrid w:val="false"/>
              <w:spacing w:line="360" w:lineRule="auto"/>
              <w:jc w:val="center"/>
              <w:rPr>
                <w:rFonts w:ascii="宋体" w:hAnsi="宋体" w:cs="Arial"/>
                <w:color w:val="auto"/>
                <w:kern w:val="0"/>
                <w:szCs w:val="21"/>
                <w:highlight w:val="none"/>
              </w:rPr>
            </w:pPr>
          </w:p>
        </w:tc>
        <w:tc>
          <w:tcPr>
            <w:tcW w:w="1799" w:type="dxa"/>
            <w:vAlign w:val="center"/>
          </w:tcPr>
          <w:p>
            <w:pPr>
              <w:widowControl/>
              <w:snapToGrid w:val="false"/>
              <w:spacing w:line="360" w:lineRule="auto"/>
              <w:jc w:val="center"/>
              <w:rPr>
                <w:rFonts w:ascii="宋体" w:hAnsi="宋体" w:cs="Arial"/>
                <w:color w:val="auto"/>
                <w:kern w:val="0"/>
                <w:szCs w:val="21"/>
                <w:highlight w:val="none"/>
              </w:rPr>
            </w:pPr>
          </w:p>
        </w:tc>
        <w:tc>
          <w:tcPr>
            <w:tcW w:w="613" w:type="dxa"/>
            <w:vAlign w:val="center"/>
          </w:tcPr>
          <w:p>
            <w:pPr>
              <w:widowControl/>
              <w:snapToGrid w:val="false"/>
              <w:spacing w:line="360" w:lineRule="auto"/>
              <w:jc w:val="center"/>
              <w:rPr>
                <w:rFonts w:ascii="宋体" w:hAnsi="宋体" w:cs="Arial"/>
                <w:color w:val="auto"/>
                <w:kern w:val="0"/>
                <w:szCs w:val="21"/>
                <w:highlight w:val="none"/>
              </w:rPr>
            </w:pPr>
          </w:p>
        </w:tc>
        <w:tc>
          <w:tcPr>
            <w:tcW w:w="618" w:type="dxa"/>
            <w:vAlign w:val="center"/>
          </w:tcPr>
          <w:p>
            <w:pPr>
              <w:widowControl/>
              <w:snapToGrid w:val="false"/>
              <w:spacing w:line="360" w:lineRule="auto"/>
              <w:jc w:val="center"/>
              <w:rPr>
                <w:rFonts w:ascii="宋体" w:hAnsi="宋体" w:cs="Arial"/>
                <w:color w:val="auto"/>
                <w:kern w:val="0"/>
                <w:szCs w:val="21"/>
                <w:highlight w:val="none"/>
              </w:rPr>
            </w:pPr>
          </w:p>
        </w:tc>
        <w:tc>
          <w:tcPr>
            <w:tcW w:w="919" w:type="dxa"/>
            <w:vAlign w:val="center"/>
          </w:tcPr>
          <w:p>
            <w:pPr>
              <w:widowControl/>
              <w:snapToGrid w:val="false"/>
              <w:spacing w:line="360" w:lineRule="auto"/>
              <w:jc w:val="center"/>
              <w:rPr>
                <w:rFonts w:ascii="宋体" w:hAnsi="宋体" w:cs="Arial"/>
                <w:color w:val="auto"/>
                <w:kern w:val="0"/>
                <w:szCs w:val="21"/>
                <w:highlight w:val="none"/>
              </w:rPr>
            </w:pPr>
          </w:p>
        </w:tc>
        <w:tc>
          <w:tcPr>
            <w:tcW w:w="1072" w:type="dxa"/>
            <w:vAlign w:val="center"/>
          </w:tcPr>
          <w:p>
            <w:pPr>
              <w:widowControl/>
              <w:snapToGrid w:val="false"/>
              <w:spacing w:line="360" w:lineRule="auto"/>
              <w:jc w:val="center"/>
              <w:rPr>
                <w:rFonts w:ascii="宋体" w:hAnsi="宋体" w:cs="Arial"/>
                <w:color w:val="auto"/>
                <w:kern w:val="0"/>
                <w:szCs w:val="21"/>
                <w:highlight w:val="none"/>
              </w:rPr>
            </w:pPr>
          </w:p>
        </w:tc>
      </w:tr>
      <w:tr>
        <w:trPr>
          <w:trHeight w:val="480" w:hRule="atLeast"/>
          <w:jc w:val="center"/>
        </w:trPr>
        <w:tc>
          <w:tcPr>
            <w:tcW w:w="6531" w:type="dxa"/>
            <w:gridSpan w:val="7"/>
            <w:vAlign w:val="center"/>
          </w:tcPr>
          <w:p>
            <w:pPr>
              <w:widowControl/>
              <w:snapToGrid w:val="false"/>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false"/>
              <w:spacing w:line="360" w:lineRule="auto"/>
              <w:jc w:val="center"/>
              <w:rPr>
                <w:rFonts w:ascii="宋体" w:hAnsi="宋体" w:cs="Arial"/>
                <w:color w:val="auto"/>
                <w:kern w:val="0"/>
                <w:szCs w:val="21"/>
                <w:highlight w:val="none"/>
              </w:rPr>
            </w:pPr>
          </w:p>
        </w:tc>
        <w:tc>
          <w:tcPr>
            <w:tcW w:w="1072" w:type="dxa"/>
            <w:vAlign w:val="center"/>
          </w:tcPr>
          <w:p>
            <w:pPr>
              <w:widowControl/>
              <w:snapToGrid w:val="false"/>
              <w:spacing w:line="360" w:lineRule="auto"/>
              <w:jc w:val="center"/>
              <w:rPr>
                <w:rFonts w:ascii="宋体" w:hAnsi="宋体" w:cs="Arial"/>
                <w:color w:val="auto"/>
                <w:kern w:val="0"/>
                <w:szCs w:val="21"/>
                <w:highlight w:val="none"/>
              </w:rPr>
            </w:pPr>
          </w:p>
        </w:tc>
      </w:tr>
    </w:tbl>
    <w:p>
      <w:pPr>
        <w:spacing w:line="360" w:lineRule="exact"/>
        <w:rPr>
          <w:rFonts w:ascii="宋体" w:hAnsi="宋体" w:cs="宋体"/>
          <w:color w:val="auto"/>
          <w:szCs w:val="21"/>
          <w:highlight w:val="none"/>
        </w:rPr>
      </w:pPr>
    </w:p>
    <w:p>
      <w:pPr>
        <w:spacing w:line="360" w:lineRule="exact"/>
        <w:rPr>
          <w:rFonts w:ascii="宋体" w:hAnsi="宋体" w:cs="宋体"/>
          <w:color w:val="auto"/>
          <w:szCs w:val="21"/>
          <w:highlight w:val="none"/>
        </w:rPr>
      </w:pPr>
    </w:p>
    <w:p>
      <w:pPr>
        <w:spacing w:line="360" w:lineRule="exact"/>
        <w:rPr>
          <w:rFonts w:ascii="宋体" w:hAnsi="宋体" w:cs="宋体"/>
          <w:color w:val="auto"/>
          <w:szCs w:val="21"/>
          <w:highlight w:val="none"/>
        </w:rPr>
      </w:pPr>
    </w:p>
    <w:p>
      <w:pPr>
        <w:spacing w:line="360" w:lineRule="exact"/>
        <w:rPr>
          <w:rFonts w:ascii="宋体" w:hAnsi="宋体" w:cs="宋体"/>
          <w:color w:val="auto"/>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pPr>
        <w:rPr>
          <w:rFonts w:ascii="宋体" w:hAnsi="宋体" w:cs="宋体"/>
          <w:b/>
          <w:color w:val="auto"/>
          <w:sz w:val="28"/>
          <w:szCs w:val="28"/>
          <w:highlight w:val="none"/>
        </w:rPr>
      </w:pPr>
      <w:r>
        <w:rPr>
          <w:rFonts w:hint="eastAsia" w:ascii="宋体" w:hAnsi="宋体" w:cs="宋体"/>
          <w:b/>
          <w:color w:val="auto"/>
          <w:sz w:val="28"/>
          <w:szCs w:val="28"/>
          <w:highlight w:val="none"/>
        </w:rPr>
        <w:t>6.偏离表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如无偏离，请在本页上写“无”，并附在谈判响应文件中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0000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rPr>
          <w:rFonts w:hint="eastAsia" w:ascii="宋体" w:hAnsi="宋体" w:cs="宋体"/>
          <w:b/>
          <w:color w:val="auto"/>
          <w:sz w:val="28"/>
          <w:szCs w:val="28"/>
          <w:highlight w:val="none"/>
        </w:rPr>
      </w:pPr>
    </w:p>
    <w:p>
      <w:pPr>
        <w:rPr>
          <w:rFonts w:hint="eastAsia" w:ascii="宋体" w:hAnsi="宋体" w:cs="宋体"/>
          <w:b/>
          <w:color w:val="auto"/>
          <w:sz w:val="28"/>
          <w:szCs w:val="28"/>
          <w:highlight w:val="none"/>
        </w:rPr>
      </w:pPr>
      <w:r>
        <w:rPr>
          <w:rFonts w:hint="eastAsia" w:ascii="宋体" w:hAnsi="宋体" w:cs="宋体"/>
          <w:b/>
          <w:color w:val="auto"/>
          <w:sz w:val="28"/>
          <w:szCs w:val="28"/>
          <w:highlight w:val="none"/>
        </w:rPr>
        <w:t>7.质保及售后服务承诺书</w:t>
      </w:r>
    </w:p>
    <w:p>
      <w:pPr>
        <w:pStyle w:val="00001e"/>
        <w:tabs>
          <w:tab w:val="left" w:pos="432"/>
        </w:tabs>
        <w:spacing w:line="480" w:lineRule="exact"/>
        <w:rPr>
          <w:rFonts w:ascii="宋体" w:hAnsi="宋体" w:eastAsia="宋体" w:cs="宋体"/>
          <w:color w:val="auto"/>
          <w:sz w:val="24"/>
          <w:highlight w:val="none"/>
        </w:rPr>
      </w:pPr>
      <w:r>
        <w:rPr>
          <w:rFonts w:hint="eastAsia" w:ascii="宋体" w:hAnsi="宋体" w:eastAsia="宋体" w:cs="宋体"/>
          <w:b/>
          <w:bCs/>
          <w:color w:val="auto"/>
          <w:sz w:val="28"/>
          <w:szCs w:val="28"/>
          <w:highlight w:val="none"/>
        </w:rPr>
        <w:t>质保及售后服务承诺书</w:t>
      </w: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质保承诺如下：</w:t>
      </w:r>
    </w:p>
    <w:p>
      <w:pPr>
        <w:spacing w:line="360" w:lineRule="exact"/>
        <w:rPr>
          <w:rFonts w:ascii="宋体" w:hAnsi="宋体" w:cs="宋体"/>
          <w:color w:val="auto"/>
          <w:szCs w:val="21"/>
          <w:highlight w:val="none"/>
        </w:rPr>
      </w:pPr>
    </w:p>
    <w:p>
      <w:pPr>
        <w:spacing w:line="360" w:lineRule="exact"/>
        <w:rPr>
          <w:rFonts w:hint="eastAsia" w:ascii="宋体" w:hAnsi="宋体" w:cs="宋体"/>
          <w:color w:val="auto"/>
          <w:szCs w:val="21"/>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售后服务承诺如下:</w:t>
      </w:r>
    </w:p>
    <w:p>
      <w:pPr>
        <w:spacing w:line="360" w:lineRule="exact"/>
        <w:rPr>
          <w:rFonts w:hint="eastAsia" w:ascii="宋体" w:hAnsi="宋体" w:cs="宋体"/>
          <w:color w:val="auto"/>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rPr>
          <w:rFonts w:ascii="宋体" w:hAnsi="宋体" w:cs="宋体"/>
          <w:color w:val="auto"/>
          <w:sz w:val="24"/>
          <w:szCs w:val="24"/>
          <w:highlight w:val="none"/>
        </w:rPr>
      </w:pPr>
      <w:r>
        <w:rPr>
          <w:rFonts w:hint="eastAsia" w:ascii="宋体" w:hAnsi="宋体" w:cs="宋体"/>
          <w:color w:val="auto"/>
          <w:szCs w:val="21"/>
          <w:highlight w:val="none"/>
        </w:rPr>
        <w:t>日期：      年  月   日</w:t>
      </w:r>
    </w:p>
    <w:p>
      <w:pPr>
        <w:pStyle w:val="000020"/>
        <w:overflowPunct w:val="false"/>
        <w:spacing w:line="500" w:lineRule="exact"/>
        <w:ind w:firstLine="0"/>
        <w:rPr>
          <w:rFonts w:hAnsi="宋体" w:cs="宋体"/>
          <w:b/>
          <w:bCs/>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000020"/>
        <w:overflowPunct w:val="false"/>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ascii="黑体" w:hAnsi="黑体" w:eastAsia="黑体"/>
          <w:b/>
          <w:color w:val="auto"/>
          <w:sz w:val="32"/>
          <w:szCs w:val="32"/>
          <w:highlight w:val="none"/>
        </w:rPr>
      </w:pPr>
    </w:p>
    <w:p>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中小企业声明函</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color w:val="auto"/>
          <w:sz w:val="24"/>
          <w:szCs w:val="24"/>
          <w:highlight w:val="none"/>
          <w:u w:val="single"/>
        </w:rPr>
        <w:t xml:space="preserve"> （单位名称）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rPr>
        <w:t xml:space="preserve"> （项目名称）</w:t>
      </w:r>
      <w:r>
        <w:rPr>
          <w:rFonts w:hint="eastAsia" w:asciiTheme="minorEastAsia" w:hAnsiTheme="minorEastAsia" w:eastAsiaTheme="minorEastAsia" w:cstheme="minorEastAsia"/>
          <w:color w:val="auto"/>
          <w:sz w:val="24"/>
          <w:szCs w:val="24"/>
          <w:highlight w:val="none"/>
        </w:rPr>
        <w:t>采购活动，货物全部由符合政策要求的中小企业承接。企业的具体情况如下：</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u w:val="single"/>
        </w:rPr>
        <w:t xml:space="preserve">（货物的名称） </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万元¹，属于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u w:val="single"/>
        </w:rPr>
        <w:t xml:space="preserve">（货物的名称） </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万元¹，属于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u w:val="single"/>
        </w:rPr>
        <w:t xml:space="preserve">（货物的名称） </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万元¹，属于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color w:val="auto"/>
          <w:sz w:val="24"/>
          <w:szCs w:val="24"/>
          <w:highlight w:val="none"/>
        </w:rPr>
      </w:pPr>
      <w:r>
        <w:rPr>
          <w:rFonts w:hint="default" w:ascii="Arial" w:hAnsi="Arial" w:cs="Arial" w:eastAsiaTheme="minorEastAsia"/>
          <w:color w:val="auto"/>
          <w:sz w:val="24"/>
          <w:szCs w:val="24"/>
          <w:highlight w:val="none"/>
        </w:rPr>
        <w:t>……</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企业名称（盖章）： </w:t>
      </w:r>
    </w:p>
    <w:p>
      <w:pPr>
        <w:spacing w:line="560" w:lineRule="exact"/>
        <w:ind w:firstLine="480" w:firstLineChars="200"/>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日 期：</w:t>
      </w:r>
    </w:p>
    <w:p>
      <w:pPr>
        <w:spacing w:line="560" w:lineRule="exact"/>
        <w:ind w:firstLine="280" w:firstLineChars="100"/>
        <w:rPr>
          <w:rFonts w:ascii="宋体" w:hAnsi="宋体"/>
          <w:color w:val="auto"/>
          <w:sz w:val="24"/>
          <w:highlight w:val="none"/>
        </w:rPr>
      </w:pPr>
      <w:r>
        <w:rPr>
          <w:rFonts w:hint="eastAsia" w:ascii="宋体" w:hAnsi="宋体" w:cs="宋体"/>
          <w:color w:val="auto"/>
          <w:sz w:val="28"/>
          <w:szCs w:val="28"/>
          <w:highlight w:val="none"/>
        </w:rPr>
        <w:t>¹</w:t>
      </w:r>
      <w:r>
        <w:rPr>
          <w:rFonts w:ascii="宋体" w:hAnsi="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注：1.投标供应商如属于小型和微型企业,如不提供此声明函的，价格将不做相应扣除。</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3.中小企业划型标准规定参考《工信部联企业[2011]300号》。</w:t>
      </w:r>
    </w:p>
    <w:p>
      <w:pPr>
        <w:spacing w:line="560" w:lineRule="exact"/>
        <w:ind w:firstLine="480" w:firstLineChars="200"/>
        <w:rPr>
          <w:rFonts w:asciiTheme="minorEastAsia" w:hAnsiTheme="minorEastAsia" w:eastAsiaTheme="minorEastAsia" w:cstheme="minorEastAsia"/>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rPr>
        <w:t>9.残疾人福利性单位声明函</w:t>
      </w:r>
    </w:p>
    <w:p>
      <w:pPr>
        <w:spacing w:line="560" w:lineRule="exact"/>
        <w:ind w:firstLine="321" w:firstLineChars="100"/>
        <w:jc w:val="center"/>
        <w:rPr>
          <w:rFonts w:ascii="黑体" w:hAnsi="黑体" w:eastAsia="黑体"/>
          <w:b/>
          <w:color w:val="auto"/>
          <w:sz w:val="32"/>
          <w:szCs w:val="32"/>
          <w:highlight w:val="none"/>
        </w:rPr>
      </w:pPr>
    </w:p>
    <w:p>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残疾人福利性单位声明函（可选）</w:t>
      </w:r>
    </w:p>
    <w:p>
      <w:pPr>
        <w:spacing w:line="360" w:lineRule="auto"/>
        <w:rPr>
          <w:rFonts w:asciiTheme="minorEastAsia" w:hAnsiTheme="minorEastAsia" w:eastAsiaTheme="minorEastAsia" w:cstheme="minorEastAsia"/>
          <w:b/>
          <w:color w:val="auto"/>
          <w:spacing w:val="6"/>
          <w:szCs w:val="21"/>
          <w:highlight w:val="none"/>
        </w:rPr>
      </w:pPr>
    </w:p>
    <w:p>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项目采购活动由本单位提供货物。提供本单位制造的货物，或者提供其他残疾人福利性单位制造的</w:t>
      </w:r>
      <w:r>
        <w:rPr>
          <w:rFonts w:hint="eastAsia" w:asciiTheme="minorEastAsia" w:hAnsiTheme="minorEastAsia" w:eastAsiaTheme="minorEastAsia" w:cstheme="minorEastAsia"/>
          <w:color w:val="auto"/>
          <w:spacing w:val="6"/>
          <w:sz w:val="24"/>
          <w:szCs w:val="24"/>
          <w:highlight w:val="none"/>
          <w:lang w:val="en-US" w:eastAsia="zh-CN"/>
        </w:rPr>
        <w:t>货物（</w:t>
      </w:r>
      <w:r>
        <w:rPr>
          <w:rFonts w:hint="eastAsia" w:asciiTheme="minorEastAsia" w:hAnsiTheme="minorEastAsia" w:eastAsiaTheme="minorEastAsia" w:cstheme="minorEastAsia"/>
          <w:color w:val="auto"/>
          <w:spacing w:val="6"/>
          <w:sz w:val="24"/>
          <w:szCs w:val="24"/>
          <w:highlight w:val="none"/>
        </w:rPr>
        <w:t>不包括使用非残疾人福利性单位</w:t>
      </w:r>
      <w:r>
        <w:rPr>
          <w:rFonts w:hint="eastAsia" w:asciiTheme="minorEastAsia" w:hAnsiTheme="minorEastAsia" w:eastAsiaTheme="minorEastAsia" w:cstheme="minorEastAsia"/>
          <w:color w:val="auto"/>
          <w:spacing w:val="6"/>
          <w:sz w:val="24"/>
          <w:szCs w:val="24"/>
          <w:highlight w:val="none"/>
          <w:lang w:val="en-US" w:eastAsia="zh-CN"/>
        </w:rPr>
        <w:t>注册</w:t>
      </w:r>
      <w:r>
        <w:rPr>
          <w:rFonts w:hint="eastAsia" w:asciiTheme="minorEastAsia" w:hAnsiTheme="minorEastAsia" w:eastAsiaTheme="minorEastAsia" w:cstheme="minorEastAsia"/>
          <w:color w:val="auto"/>
          <w:spacing w:val="6"/>
          <w:sz w:val="24"/>
          <w:szCs w:val="24"/>
          <w:highlight w:val="none"/>
        </w:rPr>
        <w:t>商标的货物)</w:t>
      </w:r>
    </w:p>
    <w:p>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true" w:after="100" w:afterAutospacing="true" w:line="360" w:lineRule="auto"/>
        <w:jc w:val="center"/>
        <w:rPr>
          <w:rFonts w:asciiTheme="minorEastAsia" w:hAnsiTheme="minorEastAsia" w:eastAsiaTheme="minorEastAsia" w:cstheme="minorEastAsia"/>
          <w:b/>
          <w:bCs/>
          <w:color w:val="auto"/>
          <w:kern w:val="44"/>
          <w:szCs w:val="21"/>
          <w:highlight w:val="none"/>
        </w:rPr>
      </w:pPr>
    </w:p>
    <w:p>
      <w:pPr>
        <w:jc w:val="center"/>
        <w:rPr>
          <w:rFonts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为了提高贵单位谈判响应文件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1.请谨记竞争性谈判文件上表述的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谈判时间和地点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2.谈判保证金一定要从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按竞争性谈判文件规定的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指定账户</w:t>
      </w:r>
      <w:r>
        <w:rPr>
          <w:rFonts w:hint="eastAsia" w:ascii="宋体" w:hAnsi="宋体" w:cs="宋体"/>
          <w:color w:val="auto"/>
          <w:sz w:val="24"/>
          <w:szCs w:val="24"/>
          <w:highlight w:val="none"/>
        </w:rPr>
        <w:t>并到账，拒绝以其它方式缴纳，禁止第三方代缴保证金。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3.谈判响应文件</w:t>
      </w:r>
      <w:r>
        <w:rPr>
          <w:rFonts w:hint="eastAsia" w:ascii="宋体" w:hAnsi="宋体" w:cs="宋体"/>
          <w:b/>
          <w:color w:val="auto"/>
          <w:sz w:val="24"/>
          <w:szCs w:val="24"/>
          <w:highlight w:val="none"/>
        </w:rPr>
        <w:t>正本和副本应当密封，电子光盘或U盘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4.谈判响应文件中的证明文件及资料需提供并加盖公章。</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5.因竞争性谈判文件文字表述有限，鼓励您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7.请精心仔细</w:t>
      </w:r>
      <w:r>
        <w:rPr>
          <w:rFonts w:hint="eastAsia" w:ascii="宋体" w:hAnsi="宋体" w:cs="宋体"/>
          <w:b/>
          <w:color w:val="auto"/>
          <w:sz w:val="24"/>
          <w:szCs w:val="24"/>
          <w:highlight w:val="none"/>
        </w:rPr>
        <w:t>审阅竞争性谈判文件，特别是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。如有疑问，请按竞争性谈判文件要求进行询疑。</w:t>
      </w:r>
    </w:p>
    <w:p>
      <w:pPr>
        <w:spacing w:line="480" w:lineRule="exact"/>
        <w:ind w:firstLine="480" w:firstLineChars="200"/>
        <w:rPr>
          <w:rFonts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最后祝您谈判成功！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本竞争性谈判文件的最终解释权归江苏尚阳工程管理有限公司所有。</w:t>
      </w:r>
    </w:p>
    <w:p>
      <w:pPr>
        <w:widowControl/>
        <w:jc w:val="center"/>
        <w:rPr>
          <w:rFonts w:ascii="宋体" w:hAnsi="宋体" w:cs="宋体"/>
          <w:b/>
          <w:color w:val="auto"/>
          <w:sz w:val="30"/>
          <w:szCs w:val="30"/>
          <w:highlight w:val="none"/>
        </w:rPr>
      </w:pPr>
      <w:r>
        <w:rPr>
          <w:rFonts w:hint="eastAsia" w:ascii="宋体" w:hAnsi="宋体" w:cs="宋体"/>
          <w:b/>
          <w:color w:val="auto"/>
          <w:sz w:val="30"/>
          <w:szCs w:val="30"/>
          <w:highlight w:val="none"/>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w="http://schemas.openxmlformats.org/wordprocessingml/2006/main">
  <w:font w:name="宋体">
    <w:panose1 w:val="02010600030101010101"/>
    <w:charset w:val="50" w:characterSet="ISO-8859-1"/>
    <w:family w:val="auto"/>
    <w:pitch w:val="default"/>
    <w:sig w:usb0="00000203" w:usb1="288F0000" w:usb2="00000006" w:usb3="00000000" w:csb0="00040001" w:csb1="00000000"/>
  </w:font>
  <w:font w:name="仿宋_GB2312">
    <w:altName w:val="仿宋"/>
    <w:panose1 w:val="00000000000000000000"/>
    <w:charset w:val="86" w:characterSet="ISO-8859-1"/>
    <w:family w:val="modern"/>
    <w:pitch w:val="default"/>
    <w:sig w:usb0="00000000" w:usb1="00000000" w:usb2="00000010" w:usb3="00000000" w:csb0="00040000" w:csb1="00000000"/>
  </w:font>
  <w:font w:name="Calibri">
    <w:panose1 w:val="020F0502020204030204"/>
    <w:charset w:val="00" w:characterSet="ISO-8859-1"/>
    <w:family w:val="swiss"/>
    <w:pitch w:val="default"/>
    <w:sig w:usb0="E4002EFF" w:usb1="C000247B" w:usb2="00000009" w:usb3="00000000" w:csb0="200001FF" w:csb1="00000000"/>
  </w:font>
  <w:font w:name="楷体_GB2312">
    <w:altName w:val="楷体"/>
    <w:panose1 w:val="00000000000000000000"/>
    <w:charset w:val="86" w:characterSet="ISO-8859-1"/>
    <w:family w:val="modern"/>
    <w:pitch w:val="default"/>
    <w:sig w:usb0="00000000" w:usb1="00000000" w:usb2="00000000" w:usb3="00000000" w:csb0="00040000" w:csb1="00000000"/>
  </w:font>
  <w:font w:name="Times New Roman">
    <w:panose1 w:val="02020603050405020304"/>
    <w:charset w:val="80" w:characterSet="ISO-8859-1"/>
    <w:family w:val="auto"/>
    <w:pitch w:val="default"/>
    <w:sig w:usb0="E0002EFF" w:usb1="C000785B" w:usb2="00000009" w:usb3="00000000" w:csb0="400001FF" w:csb1="FFFF0000"/>
  </w:font>
  <w:font w:name="Symbol">
    <w:panose1 w:val="05050102010706020507"/>
    <w:charset w:val="02" w:characterSet="ISO-8859-1"/>
    <w:family w:val="roman"/>
    <w:pitch w:val="default"/>
    <w:sig w:usb0="00000000" w:usb1="00000000" w:usb2="00000000" w:usb3="00000000" w:csb0="80000000" w:csb1="00000000"/>
  </w:font>
  <w:font w:name="楷体">
    <w:panose1 w:val="02010609060101010101"/>
    <w:charset w:val="86" w:characterSet="ISO-8859-1"/>
    <w:family w:val="auto"/>
    <w:pitch w:val="default"/>
    <w:sig w:usb0="800002BF" w:usb1="38CF7CFA" w:usb2="00000016" w:usb3="00000000" w:csb0="00040001" w:csb1="00000000"/>
  </w:font>
  <w:font w:name="Arial">
    <w:panose1 w:val="020B0604020202020204"/>
    <w:charset w:val="01" w:characterSet="ISO-8859-1"/>
    <w:family w:val="swiss"/>
    <w:pitch w:val="default"/>
    <w:sig w:usb0="E0002EFF" w:usb1="C000785B" w:usb2="00000009" w:usb3="00000000" w:csb0="400001FF" w:csb1="FFFF0000"/>
  </w:font>
  <w:font w:name="仿宋">
    <w:panose1 w:val="02010609060101010101"/>
    <w:charset w:val="86" w:characterSet="ISO-8859-1"/>
    <w:family w:val="auto"/>
    <w:pitch w:val="default"/>
    <w:sig w:usb0="800002BF" w:usb1="38CF7CFA" w:usb2="00000016" w:usb3="00000000" w:csb0="00040001" w:csb1="00000000"/>
  </w:font>
  <w:font w:name="Wingdings">
    <w:panose1 w:val="05000000000000000000"/>
    <w:charset w:val="02" w:characterSet="ISO-8859-1"/>
    <w:family w:val="auto"/>
    <w:pitch w:val="default"/>
    <w:sig w:usb0="00000000" w:usb1="00000000" w:usb2="00000000" w:usb3="00000000" w:csb0="80000000" w:csb1="00000000"/>
  </w:font>
  <w:font w:name="Courier New">
    <w:panose1 w:val="02070309020205020404"/>
    <w:charset w:val="01" w:characterSet="ISO-8859-1"/>
    <w:family w:val="modern"/>
    <w:pitch w:val="default"/>
    <w:sig w:usb0="E0002EFF" w:usb1="C0007843" w:usb2="00000009" w:usb3="00000000" w:csb0="400001FF" w:csb1="FFFF0000"/>
  </w:font>
  <w:font w:name="黑体">
    <w:panose1 w:val="02010609060101010101"/>
    <w:charset w:val="86" w:characterSet="ISO-8859-1"/>
    <w:family w:val="auto"/>
    <w:pitch w:val="default"/>
    <w:sig w:usb0="800002BF" w:usb1="38CF7CFA" w:usb2="00000016" w:usb3="00000000" w:csb0="00040001" w:csb1="00000000"/>
  </w:font>
</w:fonts>
</file>

<file path=word/footer1.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2b"/>
      <w:rPr/>
    </w:pPr>
    <w:r>
      <w:rPr/>
      <w:drawing>
        <wp:anchor distT="0" distB="0" distL="114300" distR="114300" simplePos="false" relativeHeight="25165926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7" name="文本框 6"/>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2b"/>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16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2.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2b"/>
      <w:ind w:right="360" w:firstLine="360"/>
      <w:rPr>
        <w:rFonts w:ascii="仿宋_GB2312" w:hAnsi="宋体" w:eastAsia="仿宋_GB2312"/>
      </w:rPr>
    </w:pPr>
    <w:r>
      <w:rPr/>
      <w:drawing>
        <wp:anchor distT="0" distB="0" distL="114300" distR="114300" simplePos="false" relativeHeight="251662336"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9" name="文本框 9"/>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2b"/>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21</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3.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2b"/>
      <w:ind w:right="360" w:firstLine="360"/>
      <w:rPr>
        <w:rFonts w:ascii="仿宋_GB2312" w:hAnsi="宋体" w:eastAsia="仿宋_GB2312"/>
      </w:rPr>
    </w:pPr>
    <w:r>
      <w:rPr/>
      <w:drawing>
        <wp:anchor distT="0" distB="0" distL="114300" distR="114300" simplePos="false" relativeHeight="25166438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14" name="文本框 1"/>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2b"/>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22</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4.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2b"/>
      <w:ind w:right="360" w:firstLine="360"/>
      <w:rPr>
        <w:rFonts w:ascii="仿宋_GB2312" w:hAnsi="宋体" w:eastAsia="仿宋_GB2312"/>
      </w:rPr>
    </w:pPr>
    <w:r>
      <w:rPr/>
      <w:drawing>
        <wp:anchor distT="0" distB="0" distL="114300" distR="114300" simplePos="false" relativeHeight="251660288"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2" name="文本框 8"/>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2b"/>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31</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header1.xml><?xml version="1.0" encoding="utf-8"?>
<w:hdr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p>
    <w:pPr>
      <w:pStyle w:val="00002d"/>
      <w:rPr/>
    </w:pPr>
  </w:p>
  <w:p>
    <w:pPr>
      <w:pStyle w:val="00002d"/>
      <w:rPr/>
    </w:pPr>
    <w:r>
      <w:rPr/>
      <w:drawing>
        <wp:anchor distT="0" distB="0" distL="114300" distR="114300" simplePos="false" relativeHeight="251661312" behindDoc="true" locked="false" layoutInCell="true" allowOverlap="true">
          <wp:simplePos x="0" y="0"/>
          <wp:positionH relativeFrom="margin">
            <wp:align>center</wp:align>
          </wp:positionH>
          <wp:positionV relativeFrom="margin">
            <wp:align>center</wp:align>
          </wp:positionV>
          <wp:extent cx="5274310" cy="5873750"/>
          <wp:effectExtent l="0" t="0" r="2540" b="12700"/>
          <wp:wrapNone/>
          <wp:docPr id="4" name="WordPictureWatermark21156" descr="1"/>
          <wp:cNvGraphicFramePr>
            <a:graphicFrameLocks noChangeAspect="true"/>
          </wp:cNvGraphicFramePr>
          <a:graphic>
            <a:graphicData uri="http://schemas.openxmlformats.org/drawingml/2006/picture">
              <pic:pic>
                <pic:nvPicPr>
                  <pic:cNvPr id="5" name="WordPictureWatermark21156" descr="1"/>
                  <pic:cNvPicPr>
                    <a:picLocks noChangeAspect="true"/>
                  </pic:cNvPicPr>
                </pic:nvPicPr>
                <pic:blipFill>
                  <a:blip r:embed="rId0">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header2.xml><?xml version="1.0" encoding="utf-8"?>
<w:hdr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p>
    <w:pPr>
      <w:pStyle w:val="00002d"/>
      <w:rPr/>
    </w:pPr>
  </w:p>
  <w:p>
    <w:pPr>
      <w:pStyle w:val="00002d"/>
      <w:rPr/>
    </w:pPr>
    <w:r>
      <w:rPr/>
      <w:drawing>
        <wp:anchor distT="0" distB="0" distL="114300" distR="114300" simplePos="false" relativeHeight="251663360" behindDoc="true" locked="false" layoutInCell="true" allowOverlap="true">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noChangeAspect="true"/>
          </wp:cNvGraphicFramePr>
          <a:graphic>
            <a:graphicData uri="http://schemas.openxmlformats.org/drawingml/2006/picture">
              <pic:pic>
                <pic:nvPicPr>
                  <pic:cNvPr id="12" name="WordPictureWatermark21156" descr="1"/>
                  <pic:cNvPicPr>
                    <a:picLocks noChangeAspect="true"/>
                  </pic:cNvPicPr>
                </pic:nvPicPr>
                <pic:blipFill>
                  <a:blip r:embed="rId0">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http://schemas.openxmlformats.org/wordprocessingml/2006/main">
  <w:abstractNum w:abstractNumId="1">
    <w:nsid w:val="CB0DE4FB"/>
    <w:multiLevelType w:val="singleLevel"/>
    <w:tmpl w:val="CB0DE4FB"/>
    <w:lvl w:ilvl="0" w:tentative="false">
      <w:start w:val="1"/>
      <w:numFmt w:val="decimal"/>
      <w:suff w:val="nothing"/>
      <w:lvlText w:val="%1、"/>
      <w:lvlJc w:val="left"/>
    </w:lvl>
  </w:abstractNum>
  <w:abstractNum w:abstractNumId="2">
    <w:nsid w:val="FE3818D0"/>
    <w:multiLevelType w:val="singleLevel"/>
    <w:tmpl w:val="FE3818D0"/>
    <w:lvl w:ilvl="0" w:tentative="false">
      <w:start w:val="1"/>
      <w:numFmt w:val="decimal"/>
      <w:suff w:val="nothing"/>
      <w:lvlText w:val="%1、"/>
      <w:lvlJc w:val="left"/>
    </w:lvl>
  </w:abstractNum>
  <w:abstractNum w:abstractNumId="3">
    <w:nsid w:val="7860C58F"/>
    <w:multiLevelType w:val="singleLevel"/>
    <w:tmpl w:val="7860C58F"/>
    <w:lvl w:ilvl="0" w:tentative="false">
      <w:start w:val="1"/>
      <w:numFmt w:val="decimal"/>
      <w:suff w:val="nothing"/>
      <w:lvlText w:val="%1、"/>
      <w:lvlJc w:val="left"/>
    </w:lvl>
  </w:abstractNum>
  <w:abstractNum w:abstractNumId="4">
    <w:nsid w:val="6494BFDE"/>
    <w:multiLevelType w:val="singleLevel"/>
    <w:tmpl w:val="6494BFDE"/>
    <w:lvl w:ilvl="0" w:tentative="false">
      <w:start w:val="5"/>
      <w:numFmt w:val="chineseCounting"/>
      <w:suff w:val="space"/>
      <w:lvlText w:val="第%1章"/>
      <w:lvlJc w:val="left"/>
      <w:rPr>
        <w:rFonts w:hint="eastAsia"/>
      </w:rPr>
    </w:lvl>
  </w:abstractNum>
  <w:abstractNum w:abstractNumId="5">
    <w:nsid w:val="5606245C"/>
    <w:multiLevelType w:val="singleLevel"/>
    <w:tmpl w:val="5606245C"/>
    <w:lvl w:ilvl="0" w:tentative="false">
      <w:start w:val="1"/>
      <w:numFmt w:val="decimal"/>
      <w:suff w:val="nothing"/>
      <w:lvlText w:val="%1、"/>
      <w:lvlJc w:val="left"/>
    </w:lvl>
  </w:abstractNum>
  <w:abstractNum w:abstractNumId="6">
    <w:nsid w:val="7873B42D"/>
    <w:multiLevelType w:val="singleLevel"/>
    <w:tmpl w:val="7873B42D"/>
    <w:lvl w:ilvl="0" w:tentative="false">
      <w:start w:val="1"/>
      <w:numFmt w:val="decimal"/>
      <w:suff w:val="nothing"/>
      <w:lvlText w:val="%1、"/>
      <w:lvlJc w:val="left"/>
    </w:lvl>
  </w:abstractNum>
  <w:abstractNum w:abstractNumId="7">
    <w:nsid w:val="3BD79C7D"/>
    <w:multiLevelType w:val="singleLevel"/>
    <w:tmpl w:val="3BD79C7D"/>
    <w:lvl w:ilvl="0" w:tentative="false">
      <w:start w:val="4"/>
      <w:numFmt w:val="chineseCounting"/>
      <w:suff w:val="nothing"/>
      <w:lvlText w:val="%1、"/>
      <w:lvlJc w:val="left"/>
      <w:rPr>
        <w:rFonts w:hint="eastAsia"/>
      </w:rPr>
    </w:lvl>
  </w:abstractNum>
  <w:abstractNum w:abstractNumId="8">
    <w:nsid w:val="DE1D65AC"/>
    <w:multiLevelType w:val="singleLevel"/>
    <w:tmpl w:val="DE1D65AC"/>
    <w:lvl w:ilvl="0" w:tentative="false">
      <w:start w:val="1"/>
      <w:numFmt w:val="decimal"/>
      <w:suff w:val="nothing"/>
      <w:lvlText w:val="%1、"/>
      <w:lvlJc w:val="left"/>
    </w:lvl>
  </w:abstractNum>
  <w:abstractNum w:abstractNumId="9">
    <w:nsid w:val="FEDF9157"/>
    <w:multiLevelType w:val="singleLevel"/>
    <w:tmpl w:val="FEDF9157"/>
    <w:lvl w:ilvl="0" w:tentative="false">
      <w:start w:val="1"/>
      <w:numFmt w:val="decimal"/>
      <w:suff w:val="nothing"/>
      <w:lvlText w:val="%1、"/>
      <w:lvlJc w:val="left"/>
    </w:lvl>
  </w:abstractNum>
  <w:abstractNum w:abstractNumId="10">
    <w:nsid w:val="1909EFAA"/>
    <w:multiLevelType w:val="singleLevel"/>
    <w:tmpl w:val="1909EFAA"/>
    <w:lvl w:ilvl="0" w:tentative="false">
      <w:start w:val="1"/>
      <w:numFmt w:val="decimal"/>
      <w:suff w:val="nothing"/>
      <w:lvlText w:val="%1、"/>
      <w:lvlJc w:val="left"/>
    </w:lvl>
  </w:abstractNum>
  <w:abstractNum w:abstractNumId="11">
    <w:nsid w:val="6F605699"/>
    <w:multiLevelType w:val="singleLevel"/>
    <w:tmpl w:val="6F605699"/>
    <w:lvl w:ilvl="0" w:tentative="false">
      <w:start w:val="1"/>
      <w:numFmt w:val="decimal"/>
      <w:suff w:val="nothing"/>
      <w:lvlText w:val="%1、"/>
      <w:lvlJc w:val="left"/>
    </w:lvl>
  </w:abstractNum>
  <w:abstractNum w:abstractNumId="12">
    <w:nsid w:val="4EE41620"/>
    <w:multiLevelType w:val="singleLevel"/>
    <w:tmpl w:val="4EE41620"/>
    <w:lvl w:ilvl="0" w:tentative="false">
      <w:start w:val="1"/>
      <w:numFmt w:val="decimal"/>
      <w:suff w:val="nothing"/>
      <w:lvlText w:val="%1、"/>
      <w:lvlJc w:val="left"/>
    </w:lvl>
  </w:abstractNum>
  <w:abstractNum w:abstractNumId="13">
    <w:nsid w:val="3378A73B"/>
    <w:multiLevelType w:val="singleLevel"/>
    <w:tmpl w:val="3378A73B"/>
    <w:lvl w:ilvl="0" w:tentative="false">
      <w:start w:val="1"/>
      <w:numFmt w:val="decimal"/>
      <w:suff w:val="nothing"/>
      <w:lvlText w:val="%1、"/>
      <w:lvlJc w:val="left"/>
    </w:lvl>
  </w:abstractNum>
  <w:abstractNum w:abstractNumId="14">
    <w:nsid w:val="B352F823"/>
    <w:multiLevelType w:val="singleLevel"/>
    <w:tmpl w:val="B352F823"/>
    <w:lvl w:ilvl="0" w:tentative="false">
      <w:start w:val="1"/>
      <w:numFmt w:val="decimal"/>
      <w:suff w:val="nothing"/>
      <w:lvlText w:val="%1、"/>
      <w:lvlJc w:val="left"/>
    </w:lvl>
  </w:abstractNum>
  <w:num w:numId="5">
    <w:abstractNumId w:val="5"/>
  </w:num>
  <w:num w:numId="4">
    <w:abstractNumId w:val="13"/>
  </w:num>
  <w:num w:numId="2">
    <w:abstractNumId w:val="8"/>
  </w:num>
  <w:num w:numId="9">
    <w:abstractNumId w:val="9"/>
  </w:num>
  <w:num w:numId="1">
    <w:abstractNumId w:val="7"/>
  </w:num>
  <w:num w:numId="11">
    <w:abstractNumId w:val="10"/>
  </w:num>
  <w:num w:numId="3">
    <w:abstractNumId w:val="14"/>
  </w:num>
  <w:num w:numId="13">
    <w:abstractNumId w:val="6"/>
  </w:num>
  <w:num w:numId="8">
    <w:abstractNumId w:val="11"/>
  </w:num>
  <w:num w:numId="12">
    <w:abstractNumId w:val="2"/>
  </w:num>
  <w:num w:numId="6">
    <w:abstractNumId w:val="1"/>
  </w:num>
  <w:num w:numId="10">
    <w:abstractNumId w:val="3"/>
  </w:num>
  <w:num w:numId="7">
    <w:abstractNumId w:val="12"/>
  </w:num>
  <w:num w:numId="14">
    <w:abstractNumId w:val="4"/>
  </w:num>
</w:numbering>
</file>

<file path=word/settings.xml><?xml version="1.0" encoding="utf-8"?>
<w:settings xmlns:w="http://schemas.openxmlformats.org/wordprocessingml/2006/main">
  <w:zoom w:percent="90"/>
  <w:embedSystemFonts/>
  <w:bordersDoNotSurroundHeader w:val="false"/>
  <w:bordersDoNotSurroundFooter w:val="false"/>
  <w:documentProtection w:enforcement="false"/>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enableOpenTypeFeatures" w:uri="http://schemas.microsoft.com/office/word" w:val="1"/>
    <w:compatSetting w:name="compatibilityMode" w:uri="http://schemas.microsoft.com/office/word" w:val="14"/>
    <w:compatSetting w:name="doNotFlipMirrorIndents" w:uri="http://schemas.microsoft.com/office/word" w:val="1"/>
    <w:compatSetting w:name="overrideTableStyleFontSizeAndJustification" w:uri="http://schemas.microsoft.com/office/word" w:val="1"/>
  </w:compat>
  <w:docVars>
    <w:docVar w:name="commondata" w:val="eyJoZGlkIjoiOGEzMmFhMDA3ZTkyMWVkZDI1Mzg5Y2U4ZGMzM2IxNjkifQ=="/>
  </w:docVars>
  <w:rsids>
    <w:rsidRoot w:val="41894BD4"/>
    <w:rsid w:val="0000188A"/>
    <w:rsid w:val="0028536A"/>
    <w:rsid w:val="005C2408"/>
    <w:rsid w:val="00603B27"/>
    <w:rsid w:val="008E46C5"/>
    <w:rsid w:val="009B7366"/>
    <w:rsid w:val="00BB6FCC"/>
    <w:rsid w:val="00BC36C1"/>
    <w:rsid w:val="00DC19CB"/>
    <w:rsid w:val="012C0869"/>
    <w:rsid w:val="02620D41"/>
    <w:rsid w:val="02C97646"/>
    <w:rsid w:val="02D110F8"/>
    <w:rsid w:val="030634BD"/>
    <w:rsid w:val="041B6CAE"/>
    <w:rsid w:val="04573D11"/>
    <w:rsid w:val="047168CE"/>
    <w:rsid w:val="04770AD9"/>
    <w:rsid w:val="04C5488E"/>
    <w:rsid w:val="04EF5032"/>
    <w:rsid w:val="05150573"/>
    <w:rsid w:val="052150F4"/>
    <w:rsid w:val="05DA4FCB"/>
    <w:rsid w:val="05FD56D0"/>
    <w:rsid w:val="06064950"/>
    <w:rsid w:val="060A55BB"/>
    <w:rsid w:val="06320987"/>
    <w:rsid w:val="067F3525"/>
    <w:rsid w:val="0692095D"/>
    <w:rsid w:val="070C42A8"/>
    <w:rsid w:val="07725D0A"/>
    <w:rsid w:val="07EB7A40"/>
    <w:rsid w:val="08073296"/>
    <w:rsid w:val="082C51BD"/>
    <w:rsid w:val="08355C0F"/>
    <w:rsid w:val="08442A7A"/>
    <w:rsid w:val="08840BA4"/>
    <w:rsid w:val="089F029F"/>
    <w:rsid w:val="08F16945"/>
    <w:rsid w:val="090F7AA4"/>
    <w:rsid w:val="0917644A"/>
    <w:rsid w:val="09190442"/>
    <w:rsid w:val="09294B9C"/>
    <w:rsid w:val="098C0586"/>
    <w:rsid w:val="0A1B5312"/>
    <w:rsid w:val="0A2B7009"/>
    <w:rsid w:val="0A751B33"/>
    <w:rsid w:val="0ABB2192"/>
    <w:rsid w:val="0ABC0E8D"/>
    <w:rsid w:val="0B547747"/>
    <w:rsid w:val="0B620734"/>
    <w:rsid w:val="0B7C44D7"/>
    <w:rsid w:val="0C0E410A"/>
    <w:rsid w:val="0C126BE9"/>
    <w:rsid w:val="0C190719"/>
    <w:rsid w:val="0C48085D"/>
    <w:rsid w:val="0D044068"/>
    <w:rsid w:val="0D424D2E"/>
    <w:rsid w:val="0D533015"/>
    <w:rsid w:val="0DEA5B25"/>
    <w:rsid w:val="0DFF4F4B"/>
    <w:rsid w:val="0E141ECF"/>
    <w:rsid w:val="0E225F01"/>
    <w:rsid w:val="0E9919B5"/>
    <w:rsid w:val="0ED14B39"/>
    <w:rsid w:val="0F2162CD"/>
    <w:rsid w:val="0F856435"/>
    <w:rsid w:val="0F8E0ACA"/>
    <w:rsid w:val="1000402E"/>
    <w:rsid w:val="10384B61"/>
    <w:rsid w:val="10B72500"/>
    <w:rsid w:val="11A10091"/>
    <w:rsid w:val="11B5429E"/>
    <w:rsid w:val="11B933BC"/>
    <w:rsid w:val="11FB5B50"/>
    <w:rsid w:val="12661633"/>
    <w:rsid w:val="12D00772"/>
    <w:rsid w:val="132E168F"/>
    <w:rsid w:val="139307D9"/>
    <w:rsid w:val="13C92844"/>
    <w:rsid w:val="13D80718"/>
    <w:rsid w:val="13DD0205"/>
    <w:rsid w:val="14031DEA"/>
    <w:rsid w:val="1408306D"/>
    <w:rsid w:val="140F12AE"/>
    <w:rsid w:val="14770FD1"/>
    <w:rsid w:val="14D44585"/>
    <w:rsid w:val="14FD16DB"/>
    <w:rsid w:val="14FE113E"/>
    <w:rsid w:val="152A1714"/>
    <w:rsid w:val="157C54AE"/>
    <w:rsid w:val="15AA4FDA"/>
    <w:rsid w:val="15E769F0"/>
    <w:rsid w:val="161F28D1"/>
    <w:rsid w:val="16A62152"/>
    <w:rsid w:val="16BC76B1"/>
    <w:rsid w:val="17184B22"/>
    <w:rsid w:val="173F55C8"/>
    <w:rsid w:val="17A475C2"/>
    <w:rsid w:val="17AA0E77"/>
    <w:rsid w:val="17BC5903"/>
    <w:rsid w:val="17F2115B"/>
    <w:rsid w:val="186F0CAC"/>
    <w:rsid w:val="189063F1"/>
    <w:rsid w:val="18D30799"/>
    <w:rsid w:val="19183524"/>
    <w:rsid w:val="19187E6D"/>
    <w:rsid w:val="192C239E"/>
    <w:rsid w:val="19397C6D"/>
    <w:rsid w:val="19927911"/>
    <w:rsid w:val="199B0175"/>
    <w:rsid w:val="199F3089"/>
    <w:rsid w:val="19D11E91"/>
    <w:rsid w:val="19D75B26"/>
    <w:rsid w:val="19DF25B4"/>
    <w:rsid w:val="19FF0227"/>
    <w:rsid w:val="1A054BC7"/>
    <w:rsid w:val="1B3E12F9"/>
    <w:rsid w:val="1B7C4052"/>
    <w:rsid w:val="1BC92900"/>
    <w:rsid w:val="1CD70210"/>
    <w:rsid w:val="1D934787"/>
    <w:rsid w:val="1ECE699F"/>
    <w:rsid w:val="1F4C0484"/>
    <w:rsid w:val="1F7B6EF6"/>
    <w:rsid w:val="1F7C34DD"/>
    <w:rsid w:val="1FDE70B6"/>
    <w:rsid w:val="1FEB1FD2"/>
    <w:rsid w:val="1FF37252"/>
    <w:rsid w:val="20AE5B34"/>
    <w:rsid w:val="20E66A21"/>
    <w:rsid w:val="20EA55E7"/>
    <w:rsid w:val="21655A0F"/>
    <w:rsid w:val="21C402D2"/>
    <w:rsid w:val="21FC49C9"/>
    <w:rsid w:val="220F32D2"/>
    <w:rsid w:val="2218501A"/>
    <w:rsid w:val="22421359"/>
    <w:rsid w:val="22463CC8"/>
    <w:rsid w:val="238C5EC7"/>
    <w:rsid w:val="23C8499C"/>
    <w:rsid w:val="23D05715"/>
    <w:rsid w:val="24156E1F"/>
    <w:rsid w:val="242239E6"/>
    <w:rsid w:val="245E43A0"/>
    <w:rsid w:val="24C02A8C"/>
    <w:rsid w:val="24F713DB"/>
    <w:rsid w:val="255A1166"/>
    <w:rsid w:val="257D4C7B"/>
    <w:rsid w:val="259F2C51"/>
    <w:rsid w:val="25A13226"/>
    <w:rsid w:val="25AF1369"/>
    <w:rsid w:val="25C6178F"/>
    <w:rsid w:val="270E5DF2"/>
    <w:rsid w:val="2716542D"/>
    <w:rsid w:val="2754525E"/>
    <w:rsid w:val="277A5A23"/>
    <w:rsid w:val="27810D4B"/>
    <w:rsid w:val="280E605F"/>
    <w:rsid w:val="28242D82"/>
    <w:rsid w:val="28D15A0A"/>
    <w:rsid w:val="29056E0C"/>
    <w:rsid w:val="293B62AF"/>
    <w:rsid w:val="29472F77"/>
    <w:rsid w:val="299D4D9B"/>
    <w:rsid w:val="29A22F02"/>
    <w:rsid w:val="29BA2A6F"/>
    <w:rsid w:val="29C91C0D"/>
    <w:rsid w:val="29E07443"/>
    <w:rsid w:val="2A426494"/>
    <w:rsid w:val="2AB638DA"/>
    <w:rsid w:val="2AD24E99"/>
    <w:rsid w:val="2B22254D"/>
    <w:rsid w:val="2B507109"/>
    <w:rsid w:val="2C4C53A8"/>
    <w:rsid w:val="2D291424"/>
    <w:rsid w:val="2DAF6A4C"/>
    <w:rsid w:val="2DB82ADA"/>
    <w:rsid w:val="2E693FEF"/>
    <w:rsid w:val="2EF44200"/>
    <w:rsid w:val="2EF95568"/>
    <w:rsid w:val="2F350375"/>
    <w:rsid w:val="2FAC0C32"/>
    <w:rsid w:val="3063243D"/>
    <w:rsid w:val="30E32FEA"/>
    <w:rsid w:val="314119AE"/>
    <w:rsid w:val="31483234"/>
    <w:rsid w:val="3194560E"/>
    <w:rsid w:val="31E6387C"/>
    <w:rsid w:val="324E1E79"/>
    <w:rsid w:val="32C43EEA"/>
    <w:rsid w:val="338B01CD"/>
    <w:rsid w:val="33A17275"/>
    <w:rsid w:val="355359F9"/>
    <w:rsid w:val="355C53F8"/>
    <w:rsid w:val="359978AF"/>
    <w:rsid w:val="36AA789A"/>
    <w:rsid w:val="36B10C29"/>
    <w:rsid w:val="36BD1572"/>
    <w:rsid w:val="36FB182D"/>
    <w:rsid w:val="375436D0"/>
    <w:rsid w:val="37677E90"/>
    <w:rsid w:val="378D6FA0"/>
    <w:rsid w:val="37AD4689"/>
    <w:rsid w:val="37EC6A27"/>
    <w:rsid w:val="38282B46"/>
    <w:rsid w:val="387708A5"/>
    <w:rsid w:val="38B93DC5"/>
    <w:rsid w:val="397275DF"/>
    <w:rsid w:val="3A0B5E8B"/>
    <w:rsid w:val="3A315848"/>
    <w:rsid w:val="3A483652"/>
    <w:rsid w:val="3A987192"/>
    <w:rsid w:val="3AE25532"/>
    <w:rsid w:val="3AE711A7"/>
    <w:rsid w:val="3B343BD6"/>
    <w:rsid w:val="3B492DB5"/>
    <w:rsid w:val="3B844B5E"/>
    <w:rsid w:val="3BE44185"/>
    <w:rsid w:val="3BE461D8"/>
    <w:rsid w:val="3BE74374"/>
    <w:rsid w:val="3CC03974"/>
    <w:rsid w:val="3D6011C1"/>
    <w:rsid w:val="3D60217E"/>
    <w:rsid w:val="3D7B294F"/>
    <w:rsid w:val="3D7B3A56"/>
    <w:rsid w:val="3D85696B"/>
    <w:rsid w:val="3D940091"/>
    <w:rsid w:val="3DA9265A"/>
    <w:rsid w:val="3E336DCA"/>
    <w:rsid w:val="3E88226F"/>
    <w:rsid w:val="3E8A04AF"/>
    <w:rsid w:val="3E9615CE"/>
    <w:rsid w:val="3ECA2888"/>
    <w:rsid w:val="3EE47C93"/>
    <w:rsid w:val="3F1A338A"/>
    <w:rsid w:val="3F2C6575"/>
    <w:rsid w:val="3FBB10C2"/>
    <w:rsid w:val="3FD634AE"/>
    <w:rsid w:val="3FE62C2A"/>
    <w:rsid w:val="3FEC2CD2"/>
    <w:rsid w:val="401C4183"/>
    <w:rsid w:val="40676A84"/>
    <w:rsid w:val="4092770F"/>
    <w:rsid w:val="40A82892"/>
    <w:rsid w:val="40E6422E"/>
    <w:rsid w:val="411848CF"/>
    <w:rsid w:val="411E04AF"/>
    <w:rsid w:val="413F7265"/>
    <w:rsid w:val="41894BD4"/>
    <w:rsid w:val="422E312E"/>
    <w:rsid w:val="428E0070"/>
    <w:rsid w:val="42AA13B8"/>
    <w:rsid w:val="42E45EE2"/>
    <w:rsid w:val="430A120E"/>
    <w:rsid w:val="43303993"/>
    <w:rsid w:val="433E5612"/>
    <w:rsid w:val="43887E77"/>
    <w:rsid w:val="43A4541C"/>
    <w:rsid w:val="43D56AEB"/>
    <w:rsid w:val="43D64982"/>
    <w:rsid w:val="446A2FDC"/>
    <w:rsid w:val="446C590A"/>
    <w:rsid w:val="44F557CA"/>
    <w:rsid w:val="45196317"/>
    <w:rsid w:val="45654C8F"/>
    <w:rsid w:val="45AF42ED"/>
    <w:rsid w:val="45CC2FFC"/>
    <w:rsid w:val="45EC7EE1"/>
    <w:rsid w:val="46357180"/>
    <w:rsid w:val="46373151"/>
    <w:rsid w:val="465B470D"/>
    <w:rsid w:val="466C245E"/>
    <w:rsid w:val="4686683C"/>
    <w:rsid w:val="46BE0300"/>
    <w:rsid w:val="46E97F6B"/>
    <w:rsid w:val="46FA637F"/>
    <w:rsid w:val="47055A52"/>
    <w:rsid w:val="47587EC6"/>
    <w:rsid w:val="484473F7"/>
    <w:rsid w:val="48622294"/>
    <w:rsid w:val="48831CF9"/>
    <w:rsid w:val="48EB0F3A"/>
    <w:rsid w:val="49446A44"/>
    <w:rsid w:val="495B7054"/>
    <w:rsid w:val="49876D98"/>
    <w:rsid w:val="49FA5FEB"/>
    <w:rsid w:val="4A4A2ACF"/>
    <w:rsid w:val="4AD14F9E"/>
    <w:rsid w:val="4AEB7E1C"/>
    <w:rsid w:val="4B524331"/>
    <w:rsid w:val="4B877F18"/>
    <w:rsid w:val="4BBA2570"/>
    <w:rsid w:val="4BEB631A"/>
    <w:rsid w:val="4C1C0AF0"/>
    <w:rsid w:val="4C257650"/>
    <w:rsid w:val="4C4C400E"/>
    <w:rsid w:val="4C96024D"/>
    <w:rsid w:val="4CA628A3"/>
    <w:rsid w:val="4CFE61A4"/>
    <w:rsid w:val="4D043CAC"/>
    <w:rsid w:val="4D3B2BA3"/>
    <w:rsid w:val="4DD21CD8"/>
    <w:rsid w:val="4E8003D1"/>
    <w:rsid w:val="4E8247B5"/>
    <w:rsid w:val="4EBA5F03"/>
    <w:rsid w:val="4ED137BE"/>
    <w:rsid w:val="4F7A20A8"/>
    <w:rsid w:val="4FF57980"/>
    <w:rsid w:val="50C3182D"/>
    <w:rsid w:val="51074746"/>
    <w:rsid w:val="51C453D1"/>
    <w:rsid w:val="521F5D66"/>
    <w:rsid w:val="526025DD"/>
    <w:rsid w:val="532A0D93"/>
    <w:rsid w:val="5381338B"/>
    <w:rsid w:val="5389433F"/>
    <w:rsid w:val="53B90580"/>
    <w:rsid w:val="54337C77"/>
    <w:rsid w:val="543946D2"/>
    <w:rsid w:val="544607AB"/>
    <w:rsid w:val="54474D1B"/>
    <w:rsid w:val="54862CF7"/>
    <w:rsid w:val="54AC2921"/>
    <w:rsid w:val="54AE550C"/>
    <w:rsid w:val="54E60965"/>
    <w:rsid w:val="54ED50CA"/>
    <w:rsid w:val="558E602B"/>
    <w:rsid w:val="55AB06CF"/>
    <w:rsid w:val="55C67D92"/>
    <w:rsid w:val="562C33EA"/>
    <w:rsid w:val="565D3B8A"/>
    <w:rsid w:val="567D4ED0"/>
    <w:rsid w:val="571238AB"/>
    <w:rsid w:val="57B90FEF"/>
    <w:rsid w:val="57EC78BB"/>
    <w:rsid w:val="57F624E8"/>
    <w:rsid w:val="58132365"/>
    <w:rsid w:val="589767F7"/>
    <w:rsid w:val="59104679"/>
    <w:rsid w:val="592137F8"/>
    <w:rsid w:val="5A240E20"/>
    <w:rsid w:val="5A366BCB"/>
    <w:rsid w:val="5A504AD9"/>
    <w:rsid w:val="5A7913E3"/>
    <w:rsid w:val="5AF53D6F"/>
    <w:rsid w:val="5AFA3B36"/>
    <w:rsid w:val="5B4F1382"/>
    <w:rsid w:val="5B5F2152"/>
    <w:rsid w:val="5B824553"/>
    <w:rsid w:val="5C0F5926"/>
    <w:rsid w:val="5C13218C"/>
    <w:rsid w:val="5C4A2E02"/>
    <w:rsid w:val="5C6733E4"/>
    <w:rsid w:val="5EFA3DD4"/>
    <w:rsid w:val="5F4F2FEA"/>
    <w:rsid w:val="60B62814"/>
    <w:rsid w:val="60E67927"/>
    <w:rsid w:val="61AB062B"/>
    <w:rsid w:val="620B6B90"/>
    <w:rsid w:val="621C529F"/>
    <w:rsid w:val="6246462F"/>
    <w:rsid w:val="62746851"/>
    <w:rsid w:val="62901A2E"/>
    <w:rsid w:val="62F85366"/>
    <w:rsid w:val="630E2BC2"/>
    <w:rsid w:val="63237935"/>
    <w:rsid w:val="638067F1"/>
    <w:rsid w:val="63894210"/>
    <w:rsid w:val="63E94C82"/>
    <w:rsid w:val="63EA51A1"/>
    <w:rsid w:val="651833B8"/>
    <w:rsid w:val="656F510D"/>
    <w:rsid w:val="65871EF3"/>
    <w:rsid w:val="6599757D"/>
    <w:rsid w:val="65A50436"/>
    <w:rsid w:val="665324EC"/>
    <w:rsid w:val="667C7C18"/>
    <w:rsid w:val="667D12A4"/>
    <w:rsid w:val="66E24FC2"/>
    <w:rsid w:val="66EA2291"/>
    <w:rsid w:val="675E59B4"/>
    <w:rsid w:val="67B210CD"/>
    <w:rsid w:val="67EB5499"/>
    <w:rsid w:val="680C2CF8"/>
    <w:rsid w:val="690C6515"/>
    <w:rsid w:val="691A5D1E"/>
    <w:rsid w:val="69447104"/>
    <w:rsid w:val="697405CC"/>
    <w:rsid w:val="69952C7A"/>
    <w:rsid w:val="69FC5E5C"/>
    <w:rsid w:val="6A2A361C"/>
    <w:rsid w:val="6AA1152B"/>
    <w:rsid w:val="6ADE5F45"/>
    <w:rsid w:val="6B0E78D6"/>
    <w:rsid w:val="6B840A40"/>
    <w:rsid w:val="6B890A9B"/>
    <w:rsid w:val="6BAA7419"/>
    <w:rsid w:val="6BD37D5E"/>
    <w:rsid w:val="6C262399"/>
    <w:rsid w:val="6C2F5572"/>
    <w:rsid w:val="6D5A25EC"/>
    <w:rsid w:val="6D847F41"/>
    <w:rsid w:val="6DF41C24"/>
    <w:rsid w:val="6E184067"/>
    <w:rsid w:val="6E7837FF"/>
    <w:rsid w:val="6EB30B7A"/>
    <w:rsid w:val="6EBE7983"/>
    <w:rsid w:val="6F8C1333"/>
    <w:rsid w:val="70741DA4"/>
    <w:rsid w:val="710C485C"/>
    <w:rsid w:val="711A7345"/>
    <w:rsid w:val="714F7368"/>
    <w:rsid w:val="71546771"/>
    <w:rsid w:val="718F158B"/>
    <w:rsid w:val="7326208B"/>
    <w:rsid w:val="734A2F4A"/>
    <w:rsid w:val="736C4651"/>
    <w:rsid w:val="73A42971"/>
    <w:rsid w:val="73C1199D"/>
    <w:rsid w:val="73E221DF"/>
    <w:rsid w:val="741C3E8C"/>
    <w:rsid w:val="74500003"/>
    <w:rsid w:val="7599405F"/>
    <w:rsid w:val="75A34131"/>
    <w:rsid w:val="75AF550D"/>
    <w:rsid w:val="75B00026"/>
    <w:rsid w:val="75DA57D9"/>
    <w:rsid w:val="769136B0"/>
    <w:rsid w:val="76BB697E"/>
    <w:rsid w:val="7711695B"/>
    <w:rsid w:val="77AF7F02"/>
    <w:rsid w:val="78086607"/>
    <w:rsid w:val="78BB4A14"/>
    <w:rsid w:val="78BD2180"/>
    <w:rsid w:val="78E9472B"/>
    <w:rsid w:val="791079C9"/>
    <w:rsid w:val="79157A6A"/>
    <w:rsid w:val="79922BB8"/>
    <w:rsid w:val="79B8172D"/>
    <w:rsid w:val="7A084F9B"/>
    <w:rsid w:val="7A610C64"/>
    <w:rsid w:val="7AD4000F"/>
    <w:rsid w:val="7B3F5C18"/>
    <w:rsid w:val="7B555778"/>
    <w:rsid w:val="7B5F5634"/>
    <w:rsid w:val="7B79737C"/>
    <w:rsid w:val="7B7E432D"/>
    <w:rsid w:val="7B834C85"/>
    <w:rsid w:val="7B8F4C4D"/>
    <w:rsid w:val="7BDE1328"/>
    <w:rsid w:val="7CCD15AD"/>
    <w:rsid w:val="7D01063E"/>
    <w:rsid w:val="7D0D2BC4"/>
    <w:rsid w:val="7D20578D"/>
    <w:rsid w:val="7D3B25C7"/>
    <w:rsid w:val="7DC435B0"/>
    <w:rsid w:val="7DE844FD"/>
    <w:rsid w:val="7DF2712A"/>
    <w:rsid w:val="7EBD61D5"/>
    <w:rsid w:val="7EEB2310"/>
    <w:rsid w:val="7EEE1B94"/>
    <w:rsid w:val="7F3A4F58"/>
    <w:rsid w:val="7F4067B2"/>
    <w:rsid w:val="7F703DCD"/>
    <w:rsid w:val="7F91779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w="http://schemas.openxmlformats.org/wordprocessingml/2006/main">
  <w:docDefaults>
    <w:rPrDefault>
      <w:rPr>
        <w:rFonts w:ascii="Times New Roman" w:hAnsi="Times New Roman" w:eastAsia="宋体" w:cs="Times New Roman"/>
      </w:rPr>
    </w:rPrDefault>
    <w:pPrDefault/>
  </w:docDefaults>
  <w:latentStyles w:defLockedState="false" w:defUIPriority="99" w:defSemiHidden="true" w:defUnhideWhenUsed="true" w:defQFormat="false" w:count="260">
    <w:lsdException w:name="Medium Shading 1 Accent 4" w:uiPriority="63" w:semiHidden="false" w:unhideWhenUsed="false"/>
    <w:lsdException w:name="Table Theme" w:uiPriority="0"/>
    <w:lsdException w:name="Table Columns 1" w:uiPriority="0"/>
    <w:lsdException w:name="Body Text 3" w:uiPriority="0" w:semiHidden="false" w:unhideWhenUsed="false"/>
    <w:lsdException w:name="Medium List 1 Accent 1" w:uiPriority="65" w:semiHidden="false" w:unhideWhenUsed="false"/>
    <w:lsdException w:name="envelope return" w:uiPriority="0" w:semiHidden="false" w:unhideWhenUsed="false" w:qFormat="true"/>
    <w:lsdException w:name="toc 6" w:uiPriority="0" w:semiHidden="false" w:unhideWhenUsed="false"/>
    <w:lsdException w:name="Document Map" w:uiPriority="99" w:semiHidden="false" w:qFormat="true"/>
    <w:lsdException w:name="Strong" w:uiPriority="0" w:semiHidden="false" w:unhideWhenUsed="false" w:qFormat="true"/>
    <w:lsdException w:name="List Bullet 5" w:uiPriority="0" w:semiHidden="false" w:unhideWhenUsed="false"/>
    <w:lsdException w:name="index 6" w:uiPriority="0" w:semiHidden="false" w:unhideWhenUsed="false"/>
    <w:lsdException w:name="Light Shading Accent 4" w:uiPriority="60" w:semiHidden="false" w:unhideWhenUsed="false"/>
    <w:lsdException w:name="Note Heading" w:uiPriority="0" w:semiHidden="false" w:unhideWhenUsed="false"/>
    <w:lsdException w:name="Light List Accent 5" w:uiPriority="61" w:semiHidden="false" w:unhideWhenUsed="false"/>
    <w:lsdException w:name="Default Paragraph Font" w:uiPriority="1" w:qFormat="true"/>
    <w:lsdException w:name="toa heading" w:uiPriority="0" w:semiHidden="false" w:unhideWhenUsed="false"/>
    <w:lsdException w:name="endnote reference" w:uiPriority="0" w:semiHidden="false" w:unhideWhenUsed="false"/>
    <w:lsdException w:name="Colorful Grid" w:uiPriority="73" w:semiHidden="false" w:unhideWhenUsed="false"/>
    <w:lsdException w:name="Colorful Grid Accent 3" w:uiPriority="73" w:semiHidden="false" w:unhideWhenUsed="false"/>
    <w:lsdException w:name="Colorful Grid Accent 6" w:uiPriority="73" w:semiHidden="false" w:unhideWhenUsed="false"/>
    <w:lsdException w:name="Message Header" w:uiPriority="0" w:semiHidden="false" w:unhideWhenUsed="false"/>
    <w:lsdException w:name="HTML Acronym" w:uiPriority="0" w:semiHidden="false" w:unhideWhenUsed="false"/>
    <w:lsdException w:name="Medium Shading 1 Accent 6" w:uiPriority="63" w:semiHidden="false" w:unhideWhenUsed="false"/>
    <w:lsdException w:name="Medium Grid 3 Accent 3" w:uiPriority="69" w:semiHidden="false" w:unhideWhenUsed="false"/>
    <w:lsdException w:name="Light List Accent 4" w:uiPriority="61" w:semiHidden="false" w:unhideWhenUsed="false"/>
    <w:lsdException w:name="Light Shading Accent 2" w:uiPriority="60" w:semiHidden="false" w:unhideWhenUsed="false"/>
    <w:lsdException w:name="footnote reference" w:uiPriority="0" w:semiHidden="false" w:unhideWhenUsed="false"/>
    <w:lsdException w:name="List 5" w:uiPriority="0" w:semiHidden="false" w:unhideWhenUsed="false"/>
    <w:lsdException w:name="toc 4" w:uiPriority="0" w:semiHidden="false" w:unhideWhenUsed="false" w:qFormat="true"/>
    <w:lsdException w:name="Medium Shading 1 Accent 2" w:uiPriority="63" w:semiHidden="false" w:unhideWhenUsed="false"/>
    <w:lsdException w:name="Light List Accent 2" w:uiPriority="61" w:semiHidden="false" w:unhideWhenUsed="false"/>
    <w:lsdException w:name="Colorful Grid Accent 4" w:uiPriority="73" w:semiHidden="false" w:unhideWhenUsed="false"/>
    <w:lsdException w:name="heading 5" w:uiPriority="0" w:qFormat="true"/>
    <w:lsdException w:name="Medium Grid 1 Accent 4" w:uiPriority="67" w:semiHidden="false" w:unhideWhenUsed="false"/>
    <w:lsdException w:name="Table List 4" w:uiPriority="0"/>
    <w:lsdException w:name="Dark List Accent 1" w:uiPriority="70" w:semiHidden="false" w:unhideWhenUsed="false"/>
    <w:lsdException w:name="Colorful List Accent 5" w:uiPriority="72" w:semiHidden="false" w:unhideWhenUsed="false"/>
    <w:lsdException w:name="footer" w:uiPriority="0" w:semiHidden="false" w:unhideWhenUsed="false" w:qFormat="true"/>
    <w:lsdException w:name="toc 3" w:uiPriority="0" w:semiHidden="false" w:unhideWhenUsed="false"/>
    <w:lsdException w:name="heading 8" w:uiPriority="0" w:qFormat="true"/>
    <w:lsdException w:name="Medium Grid 1" w:uiPriority="67" w:semiHidden="false" w:unhideWhenUsed="false"/>
    <w:lsdException w:name="Light Grid Accent 1" w:uiPriority="62" w:semiHidden="false" w:unhideWhenUsed="false"/>
    <w:lsdException w:name="Table Web 2" w:uiPriority="0"/>
    <w:lsdException w:name="Medium Grid 1 Accent 3" w:uiPriority="67" w:semiHidden="false" w:unhideWhenUsed="false"/>
    <w:lsdException w:name="Table Subtle 1" w:uiPriority="0"/>
    <w:lsdException w:name="Medium List 2" w:uiPriority="66" w:semiHidden="false" w:unhideWhenUsed="false"/>
    <w:lsdException w:name="HTML Sample" w:uiPriority="0" w:semiHidden="false" w:unhideWhenUsed="false"/>
    <w:lsdException w:name="heading 4" w:uiPriority="0" w:semiHidden="false" w:unhideWhenUsed="false" w:qFormat="true"/>
    <w:lsdException w:name="Table List 5" w:uiPriority="0"/>
    <w:lsdException w:name="Medium List 2 Accent 4" w:uiPriority="66" w:semiHidden="false" w:unhideWhenUsed="false"/>
    <w:lsdException w:name="Light List" w:uiPriority="61" w:semiHidden="false" w:unhideWhenUsed="false"/>
    <w:lsdException w:name="toc 8" w:uiPriority="0" w:semiHidden="false" w:unhideWhenUsed="false"/>
    <w:lsdException w:name="Medium Grid 2 Accent 1" w:uiPriority="68" w:semiHidden="false" w:unhideWhenUsed="false"/>
    <w:lsdException w:name="List Number" w:uiPriority="0" w:semiHidden="false" w:unhideWhenUsed="false"/>
    <w:lsdException w:name="Dark List Accent 5" w:uiPriority="70" w:semiHidden="false" w:unhideWhenUsed="false"/>
    <w:lsdException w:name="heading 3" w:uiPriority="0" w:qFormat="true"/>
    <w:lsdException w:name="Table Grid 4" w:uiPriority="0"/>
    <w:lsdException w:name="Table List 6" w:uiPriority="0"/>
    <w:lsdException w:name="Dark List Accent 2" w:uiPriority="70" w:semiHidden="false" w:unhideWhenUsed="false"/>
    <w:lsdException w:name="HTML Preformatted" w:uiPriority="0" w:semiHidden="false" w:unhideWhenUsed="false"/>
    <w:lsdException w:name="Table 3D effects 2" w:uiPriority="0"/>
    <w:lsdException w:name="Medium Shading 2 Accent 4" w:uiPriority="64" w:semiHidden="false" w:unhideWhenUsed="false"/>
    <w:lsdException w:name="Subtitle" w:uiPriority="0" w:semiHidden="false" w:unhideWhenUsed="false" w:qFormat="true"/>
    <w:lsdException w:name="List Number 4" w:uiPriority="0" w:semiHidden="false" w:unhideWhenUsed="false"/>
    <w:lsdException w:name="Table Classic 4" w:uiPriority="0"/>
    <w:lsdException w:name="index 4" w:uiPriority="0" w:semiHidden="false" w:unhideWhenUsed="false"/>
    <w:lsdException w:name="Light Grid" w:uiPriority="62" w:semiHidden="false" w:unhideWhenUsed="false"/>
    <w:lsdException w:name="Medium Grid 3 Accent 2" w:uiPriority="69" w:semiHidden="false" w:unhideWhenUsed="false"/>
    <w:lsdException w:name="Dark List Accent 6" w:uiPriority="70" w:semiHidden="false" w:unhideWhenUsed="false"/>
    <w:lsdException w:name="Table Simple 1" w:uiPriority="0"/>
    <w:lsdException w:name="Body Text First Indent 2" w:uiPriority="0" w:semiHidden="false" w:unhideWhenUsed="false" w:qFormat="true"/>
    <w:lsdException w:name="Medium Shading 1 Accent 5" w:uiPriority="63" w:semiHidden="false" w:unhideWhenUsed="false"/>
    <w:lsdException w:name="Colorful Shading Accent 2" w:uiPriority="71" w:semiHidden="false" w:unhideWhenUsed="false"/>
    <w:lsdException w:name="Light List Accent 1" w:uiPriority="61" w:semiHidden="false" w:unhideWhenUsed="false"/>
    <w:lsdException w:name="Medium Grid 2" w:uiPriority="68" w:semiHidden="false" w:unhideWhenUsed="false"/>
    <w:lsdException w:name="Body Text 2" w:uiPriority="0" w:semiHidden="false" w:unhideWhenUsed="false"/>
    <w:lsdException w:name="table of authorities" w:uiPriority="99" w:semiHidden="false" w:qFormat="true"/>
    <w:lsdException w:name="toc 5" w:uiPriority="0" w:semiHidden="false" w:unhideWhenUsed="false"/>
    <w:lsdException w:name="Table Grid 5" w:uiPriority="0"/>
    <w:lsdException w:name="List Bullet" w:uiPriority="0" w:semiHidden="false" w:unhideWhenUsed="false"/>
    <w:lsdException w:name="Medium Grid 1 Accent 6" w:uiPriority="67" w:semiHidden="false" w:unhideWhenUsed="false"/>
    <w:lsdException w:name="List Number 2" w:uiPriority="0" w:semiHidden="false" w:unhideWhenUsed="false"/>
    <w:lsdException w:name="Medium Shading 1 Accent 3" w:uiPriority="63" w:semiHidden="false" w:unhideWhenUsed="false"/>
    <w:lsdException w:name="HTML Code" w:uiPriority="0" w:semiHidden="false" w:unhideWhenUsed="false"/>
    <w:lsdException w:name="Body Text Indent" w:uiPriority="0" w:semiHidden="false" w:unhideWhenUsed="false" w:qFormat="true"/>
    <w:lsdException w:name="heading 1" w:uiPriority="0" w:semiHidden="false" w:unhideWhenUsed="false" w:qFormat="true"/>
    <w:lsdException w:name="Light Grid Accent 4" w:uiPriority="62" w:semiHidden="false" w:unhideWhenUsed="false"/>
    <w:lsdException w:name="Balloon Text" w:uiPriority="0" w:semiHidden="false" w:unhideWhenUsed="false" w:qFormat="true"/>
    <w:lsdException w:name="List 2" w:uiPriority="0" w:semiHidden="false" w:unhideWhenUsed="false"/>
    <w:lsdException w:name="Medium List 2 Accent 6" w:uiPriority="66" w:semiHidden="false" w:unhideWhenUsed="false"/>
    <w:lsdException w:name="index 2" w:uiPriority="0" w:semiHidden="false" w:unhideWhenUsed="false"/>
    <w:lsdException w:name="Table Web 1" w:uiPriority="0"/>
    <w:lsdException w:name="Table List 1" w:uiPriority="0"/>
    <w:lsdException w:name="toc 9" w:uiPriority="0" w:semiHidden="false" w:unhideWhenUsed="false"/>
    <w:lsdException w:name="index 9" w:uiPriority="0" w:semiHidden="false" w:unhideWhenUsed="false"/>
    <w:lsdException w:name="List Bullet 3" w:uiPriority="0" w:semiHidden="false" w:unhideWhenUsed="false"/>
    <w:lsdException w:name="toc 2" w:uiPriority="0" w:semiHidden="false" w:unhideWhenUsed="false"/>
    <w:lsdException w:name="Medium Shading 2 Accent 1" w:uiPriority="64" w:semiHidden="false" w:unhideWhenUsed="false"/>
    <w:lsdException w:name="Light Shading" w:uiPriority="60" w:semiHidden="false" w:unhideWhenUsed="false"/>
    <w:lsdException w:name="HTML Cite" w:uiPriority="0" w:semiHidden="false" w:unhideWhenUsed="false"/>
    <w:lsdException w:name="Normal (Web)" w:uiPriority="0" w:semiHidden="false" w:unhideWhenUsed="false" w:qFormat="true"/>
    <w:lsdException w:name="HTML Variable" w:uiPriority="0" w:semiHidden="false" w:unhideWhenUsed="false"/>
    <w:lsdException w:name="Light List Accent 6" w:uiPriority="61" w:semiHidden="false" w:unhideWhenUsed="false"/>
    <w:lsdException w:name="FollowedHyperlink" w:uiPriority="0" w:semiHidden="false" w:unhideWhenUsed="false"/>
    <w:lsdException w:name="Medium List 2 Accent 2" w:uiPriority="66" w:semiHidden="false" w:unhideWhenUsed="false"/>
    <w:lsdException w:name="Medium Grid 3 Accent 1" w:uiPriority="69" w:semiHidden="false" w:unhideWhenUsed="false"/>
    <w:lsdException w:name="Medium Grid 3 Accent 5" w:uiPriority="69" w:semiHidden="false" w:unhideWhenUsed="false"/>
    <w:lsdException w:name="Table Colorful 1" w:uiPriority="0"/>
    <w:lsdException w:name="Medium List 2 Accent 3" w:uiPriority="66" w:semiHidden="false" w:unhideWhenUsed="false"/>
    <w:lsdException w:name="Body Text Indent 3" w:uiPriority="0" w:semiHidden="false" w:unhideWhenUsed="false"/>
    <w:lsdException w:name="Normal Indent" w:uiPriority="0" w:semiHidden="false" w:unhideWhenUsed="false" w:qFormat="true"/>
    <w:lsdException w:name="Medium Grid 2 Accent 3" w:uiPriority="68" w:semiHidden="false" w:unhideWhenUsed="false"/>
    <w:lsdException w:name="Table Colorful 3" w:uiPriority="0"/>
    <w:lsdException w:name="Table Columns 4" w:uiPriority="0"/>
    <w:lsdException w:name="Normal Table" w:uiPriority="99" w:qFormat="true"/>
    <w:lsdException w:name="Date" w:uiPriority="0" w:semiHidden="false" w:unhideWhenUsed="false"/>
    <w:lsdException w:name="annotation text" w:uiPriority="0" w:semiHidden="false" w:unhideWhenUsed="false" w:qFormat="true"/>
    <w:lsdException w:name="Medium Grid 2 Accent 5" w:uiPriority="68" w:semiHidden="false" w:unhideWhenUsed="false"/>
    <w:lsdException w:name="heading 9" w:uiPriority="0" w:qFormat="true"/>
    <w:lsdException w:name="Table Grid 3" w:uiPriority="0"/>
    <w:lsdException w:name="Colorful List Accent 4" w:uiPriority="72" w:semiHidden="false" w:unhideWhenUsed="false"/>
    <w:lsdException w:name="Medium Grid 1 Accent 1" w:uiPriority="67" w:semiHidden="false" w:unhideWhenUsed="false"/>
    <w:lsdException w:name="Medium Shading 1" w:uiPriority="63" w:semiHidden="false" w:unhideWhenUsed="false"/>
    <w:lsdException w:name="List Bullet 4" w:uiPriority="0" w:semiHidden="false" w:unhideWhenUsed="false"/>
    <w:lsdException w:name="Table List 2" w:uiPriority="0"/>
    <w:lsdException w:name="Colorful List" w:uiPriority="72" w:semiHidden="false" w:unhideWhenUsed="false"/>
    <w:lsdException w:name="table of figures" w:uiPriority="0" w:semiHidden="false" w:unhideWhenUsed="false"/>
    <w:lsdException w:name="Medium List 1" w:uiPriority="65" w:semiHidden="false" w:unhideWhenUsed="false"/>
    <w:lsdException w:name="Body Text" w:uiPriority="0" w:semiHidden="false" w:unhideWhenUsed="false" w:qFormat="true"/>
    <w:lsdException w:name="Medium Shading 1 Accent 1" w:uiPriority="63" w:semiHidden="false" w:unhideWhenUsed="false"/>
    <w:lsdException w:name="Medium List 1 Accent 2" w:uiPriority="65" w:semiHidden="false" w:unhideWhenUsed="false"/>
    <w:lsdException w:name="Table Grid 6" w:uiPriority="0"/>
    <w:lsdException w:name="HTML Address" w:uiPriority="0" w:semiHidden="false" w:unhideWhenUsed="false"/>
    <w:lsdException w:name="List Continue 4" w:uiPriority="0" w:semiHidden="false" w:unhideWhenUsed="false"/>
    <w:lsdException w:name="List Number 3" w:uiPriority="0" w:semiHidden="false" w:unhideWhenUsed="false"/>
    <w:lsdException w:name="index heading" w:uiPriority="0" w:semiHidden="false" w:unhideWhenUsed="false"/>
    <w:lsdException w:name="Colorful List Accent 1" w:uiPriority="72" w:semiHidden="false" w:unhideWhenUsed="false"/>
    <w:lsdException w:name="Medium Shading 2 Accent 3" w:uiPriority="64" w:semiHidden="false" w:unhideWhenUsed="false"/>
    <w:lsdException w:name="Table Subtle 2" w:uiPriority="0"/>
    <w:lsdException w:name="header" w:uiPriority="0" w:semiHidden="false" w:unhideWhenUsed="false" w:qFormat="true"/>
    <w:lsdException w:name="Light Shading Accent 3" w:uiPriority="60" w:semiHidden="false" w:unhideWhenUsed="false"/>
    <w:lsdException w:name="heading 2" w:uiPriority="0" w:qFormat="true"/>
    <w:lsdException w:name="Medium Grid 1 Accent 2" w:uiPriority="67" w:semiHidden="false" w:unhideWhenUsed="false"/>
    <w:lsdException w:name="Light Shading Accent 1" w:uiPriority="60" w:semiHidden="false" w:unhideWhenUsed="false"/>
    <w:lsdException w:name="page number" w:uiPriority="0" w:semiHidden="false" w:unhideWhenUsed="false"/>
    <w:lsdException w:name="Medium Shading 2 Accent 5" w:uiPriority="64" w:semiHidden="false" w:unhideWhenUsed="false"/>
    <w:lsdException w:name="index 8" w:uiPriority="0" w:semiHidden="false" w:unhideWhenUsed="false"/>
    <w:lsdException w:name="Table List 3" w:uiPriority="0"/>
    <w:lsdException w:name="Colorful Shading Accent 3" w:uiPriority="71" w:semiHidden="false" w:unhideWhenUsed="false"/>
    <w:lsdException w:name="Table Grid 1" w:uiPriority="0"/>
    <w:lsdException w:name="Light Grid Accent 5" w:uiPriority="62" w:semiHidden="false" w:unhideWhenUsed="false"/>
    <w:lsdException w:name="Table Columns 2" w:uiPriority="0"/>
    <w:lsdException w:name="annotation reference" w:uiPriority="0" w:semiHidden="false" w:unhideWhenUsed="false" w:qFormat="true"/>
    <w:lsdException w:name="Medium List 1 Accent 6" w:uiPriority="65" w:semiHidden="false" w:unhideWhenUsed="false"/>
    <w:lsdException w:name="Medium Grid 3 Accent 4" w:uiPriority="69" w:semiHidden="false" w:unhideWhenUsed="false"/>
    <w:lsdException w:name="endnote text" w:uiPriority="0" w:semiHidden="false" w:unhideWhenUsed="false"/>
    <w:lsdException w:name="Table Colorful 2" w:uiPriority="0"/>
    <w:lsdException w:name="Colorful Shading" w:uiPriority="71" w:semiHidden="false" w:unhideWhenUsed="false"/>
    <w:lsdException w:name="Plain Text" w:uiPriority="99" w:semiHidden="false" w:unhideWhenUsed="false" w:qFormat="true"/>
    <w:lsdException w:name="index 5" w:uiPriority="0" w:semiHidden="false" w:unhideWhenUsed="false"/>
    <w:lsdException w:name="annotation subject" w:uiPriority="0" w:semiHidden="false" w:unhideWhenUsed="false"/>
    <w:lsdException w:name="List Number 5" w:uiPriority="0" w:semiHidden="false" w:unhideWhenUsed="false"/>
    <w:lsdException w:name="Colorful List Accent 2" w:uiPriority="72" w:semiHidden="false" w:unhideWhenUsed="false"/>
    <w:lsdException w:name="Medium Grid 2 Accent 2" w:uiPriority="68" w:semiHidden="false" w:unhideWhenUsed="false"/>
    <w:lsdException w:name="Colorful Shading Accent 4" w:uiPriority="71" w:semiHidden="false" w:unhideWhenUsed="false"/>
    <w:lsdException w:name="Table Simple 2" w:uiPriority="0"/>
    <w:lsdException w:name="Medium Grid 3" w:uiPriority="69" w:semiHidden="false" w:unhideWhenUsed="false"/>
    <w:lsdException w:name="Dark List Accent 4" w:uiPriority="70" w:semiHidden="false" w:unhideWhenUsed="false"/>
    <w:lsdException w:name="footnote text" w:uiPriority="0" w:semiHidden="false" w:unhideWhenUsed="false"/>
    <w:lsdException w:name="Colorful Shading Accent 1" w:uiPriority="71" w:semiHidden="false" w:unhideWhenUsed="false"/>
    <w:lsdException w:name="List Paragraph" w:uiPriority="34" w:semiHidden="false" w:unhideWhenUsed="false" w:qFormat="true"/>
    <w:lsdException w:name="Table List 8" w:uiPriority="0"/>
    <w:lsdException w:name="Light Grid Accent 2" w:uiPriority="62" w:semiHidden="false" w:unhideWhenUsed="false"/>
    <w:lsdException w:name="Table Columns 3" w:uiPriority="0"/>
    <w:lsdException w:name="Title" w:uiPriority="0" w:semiHidden="false" w:unhideWhenUsed="false" w:qFormat="true"/>
    <w:lsdException w:name="Table Classic 1" w:uiPriority="0"/>
    <w:lsdException w:name="Light Shading Accent 5" w:uiPriority="60" w:semiHidden="false" w:unhideWhenUsed="false"/>
    <w:lsdException w:name="Colorful Grid Accent 2" w:uiPriority="73" w:semiHidden="false" w:unhideWhenUsed="false"/>
    <w:lsdException w:name="List Continue 5" w:uiPriority="0" w:semiHidden="false" w:unhideWhenUsed="false"/>
    <w:lsdException w:name="Light Grid Accent 6" w:uiPriority="62" w:semiHidden="false" w:unhideWhenUsed="false"/>
    <w:lsdException w:name="Table 3D effects 1" w:uiPriority="0"/>
    <w:lsdException w:name="Table Grid 8" w:uiPriority="0"/>
    <w:lsdException w:name="Table Grid" w:uiPriority="0" w:semiHidden="false" w:unhideWhenUsed="false" w:qFormat="true"/>
    <w:lsdException w:name="Colorful Shading Accent 6" w:uiPriority="71" w:semiHidden="false" w:unhideWhenUsed="false"/>
    <w:lsdException w:name="Colorful Grid Accent 5" w:uiPriority="73" w:semiHidden="false" w:unhideWhenUsed="false"/>
    <w:lsdException w:name="Table Professional" w:uiPriority="0"/>
    <w:lsdException w:name="Medium Grid 3 Accent 6" w:uiPriority="69" w:semiHidden="false" w:unhideWhenUsed="false"/>
    <w:lsdException w:name="Hyperlink" w:uiPriority="0" w:semiHidden="false" w:unhideWhenUsed="false"/>
    <w:lsdException w:name="Closing" w:uiPriority="0" w:semiHidden="false" w:unhideWhenUsed="false"/>
    <w:lsdException w:name="Medium Shading 2" w:uiPriority="64" w:semiHidden="false" w:unhideWhenUsed="false"/>
    <w:lsdException w:name="Table Simple 3" w:uiPriority="0"/>
    <w:lsdException w:name="List" w:uiPriority="0" w:semiHidden="false" w:unhideWhenUsed="false"/>
    <w:lsdException w:name="Table Web 3" w:uiPriority="0"/>
    <w:lsdException w:name="Medium Shading 2 Accent 6" w:uiPriority="64" w:semiHidden="false" w:unhideWhenUsed="false"/>
    <w:lsdException w:name="HTML Typewriter" w:uiPriority="0" w:semiHidden="false" w:unhideWhenUsed="false"/>
    <w:lsdException w:name="Medium Grid 1 Accent 5" w:uiPriority="67" w:semiHidden="false" w:unhideWhenUsed="false"/>
    <w:lsdException w:name="Table Classic 2" w:uiPriority="0"/>
    <w:lsdException w:name="macro" w:uiPriority="0" w:semiHidden="false" w:unhideWhenUsed="false"/>
    <w:lsdException w:name="Table Classic 3" w:uiPriority="0"/>
    <w:lsdException w:name="List Bullet 2" w:uiPriority="0" w:semiHidden="false" w:unhideWhenUsed="false"/>
    <w:lsdException w:name="List Continue 3" w:uiPriority="0" w:semiHidden="false" w:unhideWhenUsed="false"/>
    <w:lsdException w:name="Medium Grid 2 Accent 6" w:uiPriority="68" w:semiHidden="false" w:unhideWhenUsed="false"/>
    <w:lsdException w:name="line number" w:uiPriority="0" w:semiHidden="false" w:unhideWhenUsed="false"/>
    <w:lsdException w:name="Colorful List Accent 6" w:uiPriority="72" w:semiHidden="false" w:unhideWhenUsed="false"/>
    <w:lsdException w:name="caption" w:uiPriority="0" w:qFormat="true"/>
    <w:lsdException w:name="Block Text" w:uiPriority="0" w:semiHidden="false" w:unhideWhenUsed="false"/>
    <w:lsdException w:name="toc 7" w:uiPriority="0" w:semiHidden="false" w:unhideWhenUsed="false"/>
    <w:lsdException w:name="Colorful List Accent 3" w:uiPriority="72" w:semiHidden="false" w:unhideWhenUsed="false"/>
    <w:lsdException w:name="Colorful Shading Accent 5" w:uiPriority="71" w:semiHidden="false" w:unhideWhenUsed="false"/>
    <w:lsdException w:name="Medium Shading 2 Accent 2" w:uiPriority="64" w:semiHidden="false" w:unhideWhenUsed="false"/>
    <w:lsdException w:name="Light List Accent 3" w:uiPriority="61" w:semiHidden="false" w:unhideWhenUsed="false"/>
    <w:lsdException w:name="Table List 7" w:uiPriority="0"/>
    <w:lsdException w:name="Medium List 1 Accent 5" w:uiPriority="65" w:semiHidden="false" w:unhideWhenUsed="false"/>
    <w:lsdException w:name="E-mail Signature" w:uiPriority="0" w:semiHidden="false" w:unhideWhenUsed="false"/>
    <w:lsdException w:name="Table Elegant" w:uiPriority="0"/>
    <w:lsdException w:name="Medium List 2 Accent 1" w:uiPriority="66" w:semiHidden="false" w:unhideWhenUsed="false"/>
    <w:lsdException w:name="Medium List 1 Accent 3" w:uiPriority="65" w:semiHidden="false" w:unhideWhenUsed="false"/>
    <w:lsdException w:name="Medium List 1 Accent 4" w:uiPriority="65" w:semiHidden="false" w:unhideWhenUsed="false"/>
    <w:lsdException w:name="List 4" w:uiPriority="0" w:semiHidden="false" w:unhideWhenUsed="false"/>
    <w:lsdException w:name="Salutation" w:uiPriority="0" w:semiHidden="false" w:unhideWhenUsed="false"/>
    <w:lsdException w:name="index 3" w:uiPriority="0" w:semiHidden="false" w:unhideWhenUsed="false"/>
    <w:lsdException w:name="envelope address" w:uiPriority="0" w:semiHidden="false" w:unhideWhenUsed="false"/>
    <w:lsdException w:name="Normal" w:uiPriority="0" w:semiHidden="false" w:unhideWhenUsed="false" w:qFormat="true"/>
    <w:lsdException w:name="Signature" w:uiPriority="0" w:semiHidden="false" w:unhideWhenUsed="false"/>
    <w:lsdException w:name="Dark List Accent 3" w:uiPriority="70" w:semiHidden="false" w:unhideWhenUsed="false"/>
    <w:lsdException w:name="HTML Definition" w:uiPriority="0" w:semiHidden="false" w:unhideWhenUsed="false"/>
    <w:lsdException w:name="toc 1" w:uiPriority="0" w:semiHidden="false" w:unhideWhenUsed="false"/>
    <w:lsdException w:name="Light Grid Accent 3" w:uiPriority="62" w:semiHidden="false" w:unhideWhenUsed="false"/>
    <w:lsdException w:name="Table Grid 2" w:uiPriority="0"/>
    <w:lsdException w:name="Dark List" w:uiPriority="70" w:semiHidden="false" w:unhideWhenUsed="false"/>
    <w:lsdException w:name="Medium Grid 2 Accent 4" w:uiPriority="68" w:semiHidden="false" w:unhideWhenUsed="false"/>
    <w:lsdException w:name="Table Grid 7" w:uiPriority="0"/>
    <w:lsdException w:name="HTML Keyboard" w:uiPriority="0" w:semiHidden="false" w:unhideWhenUsed="false"/>
    <w:lsdException w:name="Light Shading Accent 6" w:uiPriority="60" w:semiHidden="false" w:unhideWhenUsed="false"/>
    <w:lsdException w:name="Body Text Indent 2" w:uiPriority="0" w:semiHidden="false" w:unhideWhenUsed="false"/>
    <w:lsdException w:name="List Continue" w:uiPriority="0" w:semiHidden="false" w:unhideWhenUsed="false"/>
    <w:lsdException w:name="Body Text First Indent" w:uiPriority="0" w:semiHidden="false" w:unhideWhenUsed="false" w:qFormat="true"/>
    <w:lsdException w:name="index 1" w:uiPriority="0" w:semiHidden="false" w:unhideWhenUsed="false"/>
    <w:lsdException w:name="Table 3D effects 3" w:uiPriority="0"/>
    <w:lsdException w:name="Emphasis" w:uiPriority="0" w:semiHidden="false" w:unhideWhenUsed="false" w:qFormat="true"/>
    <w:lsdException w:name="heading 6" w:uiPriority="0" w:qFormat="true"/>
    <w:lsdException w:name="Table Contemporary" w:uiPriority="0"/>
    <w:lsdException w:name="List Continue 2" w:uiPriority="0" w:semiHidden="false" w:unhideWhenUsed="false"/>
    <w:lsdException w:name="Colorful Grid Accent 1" w:uiPriority="73" w:semiHidden="false" w:unhideWhenUsed="false"/>
    <w:lsdException w:name="heading 7" w:uiPriority="0" w:qFormat="true"/>
    <w:lsdException w:name="index 7" w:uiPriority="0" w:semiHidden="false" w:unhideWhenUsed="false"/>
    <w:lsdException w:name="Medium List 2 Accent 5" w:uiPriority="66" w:semiHidden="false" w:unhideWhenUsed="false"/>
    <w:lsdException w:name="List 3" w:uiPriority="0" w:semiHidden="false" w:unhideWhenUsed="false"/>
    <w:lsdException w:name="Table Columns 5" w:uiPriority="0"/>
  </w:latentStyles>
  <w:style w:type="table" w:styleId="000032">
    <w:name w:val="Table Grid"/>
    <w:basedOn w:val="000022"/>
    <w:uiPriority w:val="0"/>
    <w:qFormat/>
    <w:pPr>
      <w:widowControl w:val="false"/>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00002d">
    <w:name w:val="header"/>
    <w:basedOn w:val="00001d"/>
    <w:uiPriority w:val="0"/>
    <w:qFormat/>
    <w:pPr>
      <w:pBdr>
        <w:bottom w:val="single" w:color="auto" w:sz="6" w:space="1"/>
      </w:pBdr>
      <w:tabs>
        <w:tab w:val="center" w:pos="4153"/>
        <w:tab w:val="right" w:pos="8307"/>
      </w:tabs>
      <w:snapToGrid w:val="false"/>
      <w:jc w:val="center"/>
    </w:pPr>
    <w:rPr>
      <w:sz w:val="18"/>
    </w:rPr>
  </w:style>
  <w:style w:type="paragraph" w:styleId="00002e">
    <w:name w:val="toc 4"/>
    <w:basedOn w:val="00001d"/>
    <w:next w:val="00001d"/>
    <w:uiPriority w:val="0"/>
    <w:qFormat/>
    <w:pPr>
      <w:ind w:left="1260"/>
    </w:pPr>
  </w:style>
  <w:style w:type="paragraph" w:styleId="000025">
    <w:name w:val="annotation text"/>
    <w:basedOn w:val="00001d"/>
    <w:uiPriority w:val="0"/>
    <w:qFormat/>
    <w:pPr>
      <w:jc w:val="left"/>
    </w:pPr>
  </w:style>
  <w:style w:type="character" w:styleId="00003b" w:customStyle="true">
    <w:name w:val="页码1"/>
    <w:basedOn w:val="000021"/>
    <w:uiPriority w:val="0"/>
    <w:qFormat/>
  </w:style>
  <w:style w:type="paragraph" w:styleId="000037">
    <w:name w:val="List Paragraph"/>
    <w:basedOn w:val="00001d"/>
    <w:uiPriority w:val="34"/>
    <w:qFormat/>
    <w:pPr>
      <w:ind w:firstLine="420" w:firstLineChars="200"/>
    </w:pPr>
    <w:rPr>
      <w:rFonts w:ascii="Calibri" w:hAnsi="Calibri"/>
      <w:szCs w:val="22"/>
    </w:rPr>
  </w:style>
  <w:style w:type="paragraph" w:styleId="00001f">
    <w:name w:val="heading 4"/>
    <w:basedOn w:val="00001d"/>
    <w:next w:val="000020"/>
    <w:uiPriority w:val="0"/>
    <w:qFormat/>
    <w:pPr>
      <w:keepNext/>
      <w:keepLines/>
      <w:adjustRightInd w:val="false"/>
      <w:spacing w:before="280" w:after="290" w:line="376" w:lineRule="atLeast"/>
      <w:textAlignment w:val="baseline"/>
      <w:outlineLvl w:val="3"/>
    </w:pPr>
    <w:rPr>
      <w:rFonts w:ascii="Arial" w:hAnsi="Arial" w:eastAsia="黑体"/>
      <w:b/>
      <w:kern w:val="0"/>
      <w:sz w:val="28"/>
    </w:rPr>
  </w:style>
  <w:style w:type="table" w:styleId="000022" w:default="true">
    <w:name w:val="Normal Table"/>
    <w:uiPriority w:val="99"/>
    <w:semiHidden/>
    <w:unhideWhenUsed/>
    <w:qFormat/>
    <w:tblPr>
      <w:tblCellMar>
        <w:top w:w="0" w:type="dxa"/>
        <w:left w:w="108" w:type="dxa"/>
        <w:bottom w:w="0" w:type="dxa"/>
        <w:right w:w="108" w:type="dxa"/>
      </w:tblCellMar>
    </w:tblPr>
  </w:style>
  <w:style w:type="paragraph" w:styleId="000031">
    <w:name w:val="Body Text First Indent 2"/>
    <w:basedOn w:val="000027"/>
    <w:uiPriority w:val="0"/>
    <w:qFormat/>
    <w:pPr>
      <w:ind w:firstLine="420"/>
    </w:pPr>
  </w:style>
  <w:style w:type="paragraph" w:styleId="000030">
    <w:name w:val="Body Text First Indent"/>
    <w:basedOn w:val="00001d"/>
    <w:next w:val="00001d"/>
    <w:uiPriority w:val="0"/>
    <w:qFormat/>
    <w:pPr>
      <w:ind w:firstLine="420" w:firstLineChars="100"/>
    </w:pPr>
    <w:rPr>
      <w:rFonts w:ascii="宋体" w:hAnsi="宋体"/>
      <w:sz w:val="28"/>
    </w:rPr>
  </w:style>
  <w:style w:type="character" w:styleId="000036" w:customStyle="true">
    <w:name w:val="批注主题 Char"/>
    <w:uiPriority w:val="99"/>
    <w:qFormat/>
    <w:rPr>
      <w:rFonts w:eastAsia="宋体"/>
      <w:b/>
      <w:bCs/>
    </w:rPr>
  </w:style>
  <w:style w:type="paragraph" w:styleId="000028">
    <w:name w:val="Plain Text"/>
    <w:basedOn w:val="00001d"/>
    <w:next w:val="000020"/>
    <w:uiPriority w:val="99"/>
    <w:qFormat/>
    <w:rPr>
      <w:rFonts w:ascii="宋体" w:hAnsi="宋体" w:eastAsiaTheme="minorEastAsia" w:cstheme="minorBidi"/>
      <w:sz w:val="26"/>
      <w:szCs w:val="22"/>
    </w:rPr>
  </w:style>
  <w:style w:type="paragraph" w:styleId="000023">
    <w:name w:val="table of authorities"/>
    <w:basedOn w:val="00001d"/>
    <w:next w:val="00001d"/>
    <w:uiPriority w:val="99"/>
    <w:unhideWhenUsed/>
    <w:qFormat/>
    <w:pPr>
      <w:ind w:left="420" w:leftChars="200"/>
    </w:pPr>
  </w:style>
  <w:style w:type="paragraph" w:styleId="000020">
    <w:name w:val="Normal Indent"/>
    <w:basedOn w:val="00001d"/>
    <w:next w:val="00001d"/>
    <w:uiPriority w:val="0"/>
    <w:qFormat/>
    <w:pPr>
      <w:autoSpaceDE w:val="false"/>
      <w:autoSpaceDN w:val="false"/>
      <w:adjustRightInd w:val="false"/>
      <w:ind w:firstLine="420"/>
    </w:pPr>
    <w:rPr>
      <w:rFonts w:ascii="宋体"/>
      <w:sz w:val="24"/>
    </w:rPr>
  </w:style>
  <w:style w:type="paragraph" w:styleId="000038" w:customStyle="true">
    <w:name w:val="Í¼±íÕýÎÄ"/>
    <w:basedOn w:val="00001d"/>
    <w:next w:val="000020"/>
    <w:uiPriority w:val="0"/>
    <w:qFormat/>
    <w:pPr>
      <w:ind w:firstLine="420" w:firstLineChars="200"/>
    </w:pPr>
    <w:rPr>
      <w:sz w:val="24"/>
    </w:rPr>
  </w:style>
  <w:style w:type="paragraph" w:styleId="00003a" w:customStyle="true">
    <w:name w:val="纯文本2"/>
    <w:next w:val="00002e"/>
    <w:uiPriority w:val="0"/>
    <w:qFormat/>
    <w:pPr>
      <w:widowControl w:val="false"/>
      <w:adjustRightInd w:val="false"/>
      <w:jc w:val="both"/>
      <w:textAlignment w:val="baseline"/>
    </w:pPr>
    <w:rPr>
      <w:rFonts w:ascii="宋体" w:hAnsi="Times New Roman" w:eastAsia="宋体" w:cs="Times New Roman"/>
      <w:kern w:val="2"/>
      <w:sz w:val="26"/>
      <w:szCs w:val="22"/>
      <w:lang w:val="en-US" w:eastAsia="zh-CN" w:bidi="ar-SA"/>
    </w:rPr>
  </w:style>
  <w:style w:type="paragraph" w:styleId="00002f">
    <w:name w:val="Normal (Web)"/>
    <w:basedOn w:val="00001d"/>
    <w:uiPriority w:val="0"/>
    <w:qFormat/>
    <w:pPr>
      <w:spacing w:beforeAutospacing="true" w:afterAutospacing="true"/>
      <w:jc w:val="left"/>
    </w:pPr>
    <w:rPr>
      <w:kern w:val="0"/>
      <w:sz w:val="24"/>
    </w:rPr>
  </w:style>
  <w:style w:type="paragraph" w:styleId="00001e">
    <w:name w:val="heading 1"/>
    <w:next w:val="00001d"/>
    <w:uiPriority w:val="0"/>
    <w:qFormat/>
    <w:pPr>
      <w:keepNext/>
      <w:jc w:val="center"/>
      <w:outlineLvl w:val="0"/>
    </w:pPr>
    <w:rPr>
      <w:rFonts w:ascii="黑体" w:hAnsi="Times New Roman" w:eastAsia="黑体" w:cs="Times New Roman"/>
      <w:kern w:val="2"/>
      <w:sz w:val="52"/>
      <w:szCs w:val="24"/>
      <w:lang w:val="en-US" w:eastAsia="zh-CN" w:bidi="ar-SA"/>
    </w:rPr>
  </w:style>
  <w:style w:type="paragraph" w:styleId="00001d" w:default="true">
    <w:name w:val="Normal"/>
    <w:uiPriority w:val="0"/>
    <w:qFormat/>
    <w:pPr>
      <w:widowControl w:val="false"/>
      <w:jc w:val="both"/>
    </w:pPr>
    <w:rPr>
      <w:rFonts w:ascii="Times New Roman" w:hAnsi="Times New Roman" w:eastAsia="宋体" w:cs="Times New Roman"/>
      <w:kern w:val="2"/>
      <w:sz w:val="21"/>
      <w:lang w:val="en-US" w:eastAsia="zh-CN" w:bidi="ar-SA"/>
    </w:rPr>
  </w:style>
  <w:style w:type="paragraph" w:styleId="000035" w:customStyle="true">
    <w:name w:val="段"/>
    <w:next w:val="00001d"/>
    <w:uiPriority w:val="0"/>
    <w:qFormat/>
    <w:pPr>
      <w:autoSpaceDE w:val="false"/>
      <w:autoSpaceDN w:val="false"/>
      <w:spacing w:line="360" w:lineRule="auto"/>
      <w:jc w:val="both"/>
    </w:pPr>
    <w:rPr>
      <w:rFonts w:ascii="宋体" w:hAnsi="宋体" w:eastAsia="宋体" w:cs="宋体"/>
      <w:sz w:val="24"/>
      <w:szCs w:val="24"/>
      <w:lang w:val="en-US" w:eastAsia="zh-CN" w:bidi="ar-SA"/>
    </w:rPr>
  </w:style>
  <w:style w:type="paragraph" w:styleId="000026">
    <w:name w:val="Body Text"/>
    <w:basedOn w:val="00001d"/>
    <w:next w:val="00001d"/>
    <w:uiPriority w:val="0"/>
    <w:qFormat/>
    <w:pPr>
      <w:ind w:left="558"/>
    </w:pPr>
    <w:rPr>
      <w:szCs w:val="21"/>
    </w:rPr>
  </w:style>
  <w:style w:type="paragraph" w:styleId="000029">
    <w:name w:val="Balloon Text"/>
    <w:basedOn w:val="00001d"/>
    <w:link w:val="00002a"/>
    <w:uiPriority w:val="0"/>
    <w:qFormat/>
    <w:rPr>
      <w:sz w:val="18"/>
      <w:szCs w:val="18"/>
    </w:rPr>
  </w:style>
  <w:style w:type="character" w:styleId="000021" w:default="true">
    <w:name w:val="Default Paragraph Font"/>
    <w:uiPriority w:val="1"/>
    <w:semiHidden/>
    <w:unhideWhenUsed/>
    <w:qFormat/>
  </w:style>
  <w:style w:type="paragraph" w:styleId="00002b">
    <w:name w:val="footer"/>
    <w:basedOn w:val="00001d"/>
    <w:uiPriority w:val="0"/>
    <w:qFormat/>
    <w:pPr>
      <w:tabs>
        <w:tab w:val="center" w:pos="4153"/>
        <w:tab w:val="right" w:pos="8307"/>
      </w:tabs>
      <w:snapToGrid w:val="false"/>
      <w:jc w:val="left"/>
    </w:pPr>
    <w:rPr>
      <w:rFonts w:asciiTheme="minorHAnsi" w:hAnsiTheme="minorHAnsi" w:cstheme="minorBidi"/>
      <w:sz w:val="18"/>
      <w:szCs w:val="22"/>
    </w:rPr>
  </w:style>
  <w:style w:type="character" w:styleId="00003c" w:customStyle="true">
    <w:name w:val="font01"/>
    <w:basedOn w:val="000021"/>
    <w:uiPriority w:val="0"/>
    <w:qFormat/>
    <w:rPr>
      <w:rFonts w:hint="eastAsia" w:ascii="宋体" w:hAnsi="宋体" w:eastAsia="宋体" w:cs="宋体"/>
      <w:color w:val="E26B0A"/>
      <w:sz w:val="24"/>
      <w:szCs w:val="24"/>
      <w:u w:val="none"/>
    </w:rPr>
  </w:style>
  <w:style w:type="paragraph" w:styleId="000027">
    <w:name w:val="Body Text Indent"/>
    <w:basedOn w:val="00001d"/>
    <w:next w:val="00001d"/>
    <w:uiPriority w:val="0"/>
    <w:qFormat/>
    <w:pPr>
      <w:ind w:firstLine="645"/>
    </w:pPr>
    <w:rPr>
      <w:rFonts w:ascii="楷体_GB2312" w:eastAsia="楷体_GB2312"/>
      <w:kern w:val="0"/>
      <w:sz w:val="32"/>
    </w:rPr>
  </w:style>
  <w:style w:type="character" w:styleId="00003d" w:customStyle="true">
    <w:name w:val="font31"/>
    <w:basedOn w:val="000021"/>
    <w:uiPriority w:val="0"/>
    <w:qFormat/>
    <w:rPr>
      <w:rFonts w:hint="default" w:ascii="Arial" w:hAnsi="Arial" w:cs="Arial"/>
      <w:color w:val="000000"/>
      <w:sz w:val="20"/>
      <w:szCs w:val="20"/>
      <w:u w:val="none"/>
    </w:rPr>
  </w:style>
  <w:style w:type="character" w:styleId="000033">
    <w:name w:val="Strong"/>
    <w:basedOn w:val="000021"/>
    <w:uiPriority w:val="0"/>
    <w:qFormat/>
    <w:rPr>
      <w:b/>
    </w:rPr>
  </w:style>
  <w:style w:type="paragraph" w:styleId="00002c">
    <w:name w:val="envelope return"/>
    <w:basedOn w:val="00001d"/>
    <w:uiPriority w:val="0"/>
    <w:qFormat/>
    <w:pPr>
      <w:snapToGrid w:val="false"/>
    </w:pPr>
    <w:rPr>
      <w:rFonts w:ascii="Arial" w:hAnsi="Arial"/>
    </w:rPr>
  </w:style>
  <w:style w:type="paragraph" w:styleId="000040" w:customStyle="true">
    <w:name w:val="页脚1"/>
    <w:basedOn w:val="00001d"/>
    <w:uiPriority w:val="99"/>
    <w:qFormat/>
    <w:pPr>
      <w:tabs>
        <w:tab w:val="center" w:pos="4153"/>
        <w:tab w:val="right" w:pos="8306"/>
      </w:tabs>
      <w:jc w:val="left"/>
    </w:pPr>
    <w:rPr>
      <w:sz w:val="18"/>
      <w:szCs w:val="18"/>
    </w:rPr>
  </w:style>
  <w:style w:type="paragraph" w:styleId="000039" w:customStyle="true">
    <w:name w:val="纯文本1"/>
    <w:uiPriority w:val="0"/>
    <w:qFormat/>
    <w:pPr>
      <w:widowControl w:val="false"/>
      <w:adjustRightInd w:val="false"/>
      <w:jc w:val="both"/>
      <w:textAlignment w:val="baseline"/>
    </w:pPr>
    <w:rPr>
      <w:rFonts w:ascii="宋体" w:hAnsi="宋体" w:eastAsia="宋体" w:cs="Times New Roman"/>
      <w:kern w:val="2"/>
      <w:sz w:val="26"/>
      <w:lang w:val="en-US" w:eastAsia="zh-CN" w:bidi="ar-SA"/>
    </w:rPr>
  </w:style>
  <w:style w:type="character" w:styleId="00002a" w:customStyle="true">
    <w:name w:val="批注框文本 Char"/>
    <w:basedOn w:val="000021"/>
    <w:link w:val="000029"/>
    <w:uiPriority w:val="0"/>
    <w:qFormat/>
    <w:rPr>
      <w:kern w:val="2"/>
      <w:sz w:val="18"/>
      <w:szCs w:val="18"/>
    </w:rPr>
  </w:style>
  <w:style w:type="paragraph" w:styleId="000024">
    <w:name w:val="Document Map"/>
    <w:basedOn w:val="00001d"/>
    <w:next w:val="00001d"/>
    <w:uiPriority w:val="99"/>
    <w:unhideWhenUsed/>
    <w:qFormat/>
    <w:rPr>
      <w:rFonts w:ascii="宋体"/>
      <w:sz w:val="18"/>
      <w:szCs w:val="18"/>
    </w:rPr>
  </w:style>
  <w:style w:type="paragraph" w:styleId="00003e" w:customStyle="true">
    <w:name w:val="正文 A"/>
    <w:uiPriority w:val="0"/>
    <w:qFormat/>
    <w:pPr>
      <w:widowControl w:val="false"/>
      <w:jc w:val="both"/>
    </w:pPr>
    <w:rPr>
      <w:rFonts w:ascii="Times New Roman" w:hAnsi="Times New Roman" w:eastAsia="Times New Roman" w:cs="Times New Roman"/>
      <w:color w:val="000000"/>
      <w:kern w:val="2"/>
      <w:sz w:val="21"/>
      <w:szCs w:val="21"/>
      <w:u w:color="000000"/>
      <w:lang w:val="en-US" w:eastAsia="zh-CN" w:bidi="ar-SA"/>
    </w:rPr>
  </w:style>
  <w:style w:type="character" w:styleId="000034">
    <w:name w:val="annotation reference"/>
    <w:basedOn w:val="000021"/>
    <w:uiPriority w:val="0"/>
    <w:qFormat/>
    <w:rPr>
      <w:sz w:val="21"/>
      <w:szCs w:val="21"/>
    </w:rPr>
  </w:style>
  <w:style w:type="paragraph" w:styleId="00003f" w:customStyle="true">
    <w:name w:val="页眉1"/>
    <w:basedOn w:val="00001d"/>
    <w:uiPriority w:val="0"/>
    <w:qFormat/>
    <w:pPr>
      <w:pBdr>
        <w:bottom w:val="single" w:color="000000" w:sz="6" w:space="1"/>
      </w:pBdr>
      <w:tabs>
        <w:tab w:val="center" w:pos="4153"/>
        <w:tab w:val="right" w:pos="8306"/>
      </w:tabs>
      <w:jc w:val="center"/>
    </w:pPr>
    <w:rPr>
      <w:sz w:val="18"/>
      <w:szCs w:val="18"/>
    </w:rPr>
  </w:style>
</w:styles>
</file>

<file path=word/_rels/document.xml.rels><?xml version="1.0" encoding="UTF-8" standalone="yes"?><Relationships xmlns="http://schemas.openxmlformats.org/package/2006/relationships"><Relationship Id="rId8" Type="http://schemas.openxmlformats.org/officeDocument/2006/relationships/header" Target="header2.xml" /><Relationship Id="rId7" Type="http://schemas.openxmlformats.org/officeDocument/2006/relationships/footer" Target="footer2.xml" /><Relationship Id="rId6" Type="http://schemas.openxmlformats.org/officeDocument/2006/relationships/footer" Target="footer1.xml" /><Relationship Id="rId5" Type="http://schemas.openxmlformats.org/officeDocument/2006/relationships/header" Target="header1.xml" /><Relationship Id="rId0" Type="http://schemas.openxmlformats.org/officeDocument/2006/relationships/styles" Target="styles.xml" /><Relationship Id="rId10" Type="http://schemas.openxmlformats.org/officeDocument/2006/relationships/footer" Target="footer4.xml" /><Relationship Id="rId9" Type="http://schemas.openxmlformats.org/officeDocument/2006/relationships/footer" Target="footer3.xml" /><Relationship Id="rId2" Type="http://schemas.openxmlformats.org/officeDocument/2006/relationships/fontTable" Target="fontTable.xml" /><Relationship Id="rId3" Type="http://schemas.openxmlformats.org/officeDocument/2006/relationships/theme" Target="theme/theme1.xml" /><Relationship Id="rId1" Type="http://schemas.openxmlformats.org/officeDocument/2006/relationships/settings" Target="settings.xml" /><Relationship Id="rId4" Type="http://schemas.openxmlformats.org/officeDocument/2006/relationships/numbering" Target="numbering.xml" /></Relationships>
</file>

<file path=word/_rels/header1.xml.rels><?xml version="1.0" encoding="UTF-8" standalone="yes"?><Relationships xmlns="http://schemas.openxmlformats.org/package/2006/relationships"><Relationship Id="rId0" Type="http://schemas.openxmlformats.org/officeDocument/2006/relationships/image" Target="media/image1.jpg" /></Relationships>
</file>

<file path=word/_rels/header2.xml.rels><?xml version="1.0" encoding="UTF-8" standalone="yes"?><Relationships xmlns="http://schemas.openxmlformats.org/package/2006/relationships"><Relationship Id="rId0" Type="http://schemas.openxmlformats.org/officeDocument/2006/relationships/image" Target="media/image1.jp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2025-10-16T17:26:56Z</dcterms:created>
  <dcterms:modified xsi:type="dcterms:W3CDTF">2025-10-16T17:26:56Z</dcterms:modified>
</cp:coreProperties>
</file>