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6E6CA">
      <w:pPr>
        <w:snapToGrid w:val="0"/>
        <w:spacing w:line="360" w:lineRule="auto"/>
        <w:jc w:val="center"/>
        <w:rPr>
          <w:rFonts w:ascii="宋体" w:hAnsi="宋体" w:cs="黑体"/>
          <w:b/>
          <w:color w:val="auto"/>
          <w:spacing w:val="170"/>
          <w:kern w:val="0"/>
          <w:sz w:val="84"/>
          <w:szCs w:val="84"/>
          <w:highlight w:val="none"/>
        </w:rPr>
      </w:pPr>
      <w:bookmarkStart w:id="50" w:name="_GoBack"/>
    </w:p>
    <w:p w14:paraId="5B70125C">
      <w:pPr>
        <w:snapToGrid w:val="0"/>
        <w:spacing w:line="360" w:lineRule="auto"/>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竞争性谈判</w:t>
      </w:r>
      <w:r>
        <w:rPr>
          <w:rFonts w:hint="eastAsia" w:ascii="宋体" w:hAnsi="宋体"/>
          <w:b/>
          <w:color w:val="auto"/>
          <w:spacing w:val="170"/>
          <w:sz w:val="84"/>
          <w:szCs w:val="84"/>
          <w:highlight w:val="none"/>
        </w:rPr>
        <w:t>文件</w:t>
      </w:r>
    </w:p>
    <w:p w14:paraId="653F6D2D">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03C11627">
      <w:pPr>
        <w:adjustRightInd w:val="0"/>
        <w:snapToGrid w:val="0"/>
        <w:spacing w:line="800" w:lineRule="exact"/>
        <w:rPr>
          <w:rFonts w:ascii="宋体" w:hAnsi="宋体" w:cs="宋体"/>
          <w:color w:val="auto"/>
          <w:sz w:val="44"/>
          <w:szCs w:val="44"/>
          <w:highlight w:val="none"/>
        </w:rPr>
      </w:pPr>
    </w:p>
    <w:p w14:paraId="27C0ECC0">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SYZB-SJ-2026005</w:t>
      </w:r>
    </w:p>
    <w:p w14:paraId="3A1C8D37">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eastAsia="zh-CN"/>
        </w:rPr>
        <w:t xml:space="preserve">警训办关于宿舍楼顶太阳能设备维修及保养项目 </w:t>
      </w:r>
    </w:p>
    <w:p w14:paraId="3A03A33E">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eastAsia="zh-CN"/>
        </w:rPr>
        <w:t>常州市公安局</w:t>
      </w:r>
    </w:p>
    <w:p w14:paraId="757C8281">
      <w:pPr>
        <w:spacing w:line="680" w:lineRule="exact"/>
        <w:jc w:val="center"/>
        <w:rPr>
          <w:rFonts w:ascii="宋体" w:hAnsi="宋体" w:cs="宋体"/>
          <w:color w:val="auto"/>
          <w:sz w:val="44"/>
          <w:szCs w:val="44"/>
          <w:highlight w:val="none"/>
        </w:rPr>
      </w:pPr>
    </w:p>
    <w:p w14:paraId="7DF2C052">
      <w:pPr>
        <w:spacing w:line="680" w:lineRule="exact"/>
        <w:jc w:val="center"/>
        <w:rPr>
          <w:rFonts w:ascii="宋体" w:hAnsi="宋体" w:cs="宋体"/>
          <w:color w:val="auto"/>
          <w:sz w:val="44"/>
          <w:szCs w:val="44"/>
          <w:highlight w:val="none"/>
        </w:rPr>
      </w:pPr>
    </w:p>
    <w:p w14:paraId="36654D8F">
      <w:pPr>
        <w:spacing w:line="480" w:lineRule="exact"/>
        <w:ind w:firstLine="750" w:firstLineChars="250"/>
        <w:jc w:val="center"/>
        <w:rPr>
          <w:rFonts w:ascii="宋体" w:hAnsi="宋体" w:cs="宋体"/>
          <w:color w:val="auto"/>
          <w:sz w:val="30"/>
          <w:szCs w:val="30"/>
          <w:highlight w:val="none"/>
        </w:rPr>
      </w:pPr>
    </w:p>
    <w:p w14:paraId="23129F2F">
      <w:pPr>
        <w:spacing w:line="480" w:lineRule="exact"/>
        <w:jc w:val="center"/>
        <w:rPr>
          <w:rFonts w:ascii="宋体" w:hAnsi="宋体" w:cs="宋体"/>
          <w:color w:val="auto"/>
          <w:sz w:val="36"/>
          <w:szCs w:val="36"/>
          <w:highlight w:val="none"/>
        </w:rPr>
      </w:pPr>
    </w:p>
    <w:p w14:paraId="0AF80818">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14:paraId="3852C6AF">
      <w:pPr>
        <w:jc w:val="center"/>
        <w:rPr>
          <w:rFonts w:ascii="宋体" w:hAnsi="宋体" w:cs="宋体"/>
          <w:color w:val="auto"/>
          <w:sz w:val="36"/>
          <w:szCs w:val="36"/>
          <w:highlight w:val="none"/>
        </w:rPr>
      </w:pPr>
    </w:p>
    <w:p w14:paraId="28533114">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三</w:t>
      </w:r>
      <w:r>
        <w:rPr>
          <w:rFonts w:hint="eastAsia" w:ascii="宋体" w:hAnsi="宋体" w:cs="宋体"/>
          <w:color w:val="auto"/>
          <w:w w:val="90"/>
          <w:sz w:val="44"/>
          <w:szCs w:val="44"/>
          <w:highlight w:val="none"/>
        </w:rPr>
        <w:t>月</w:t>
      </w:r>
    </w:p>
    <w:p w14:paraId="7F91FDEE">
      <w:pPr>
        <w:spacing w:before="100" w:after="240" w:line="500" w:lineRule="exact"/>
        <w:jc w:val="center"/>
        <w:rPr>
          <w:rFonts w:ascii="宋体" w:hAnsi="宋体" w:cs="宋体"/>
          <w:b/>
          <w:color w:val="auto"/>
          <w:sz w:val="44"/>
          <w:szCs w:val="44"/>
          <w:highlight w:val="none"/>
        </w:rPr>
      </w:pPr>
    </w:p>
    <w:p w14:paraId="0775D807">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14B378A">
      <w:pPr>
        <w:rPr>
          <w:color w:val="auto"/>
          <w:highlight w:val="none"/>
        </w:rPr>
      </w:pPr>
    </w:p>
    <w:p w14:paraId="3B3643C3">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5FD1A4D0">
      <w:pPr>
        <w:spacing w:before="100" w:after="240" w:line="500" w:lineRule="exact"/>
        <w:jc w:val="center"/>
        <w:rPr>
          <w:rFonts w:ascii="宋体" w:hAnsi="宋体" w:cs="宋体"/>
          <w:b/>
          <w:color w:val="auto"/>
          <w:sz w:val="44"/>
          <w:szCs w:val="44"/>
          <w:highlight w:val="none"/>
        </w:rPr>
      </w:pPr>
    </w:p>
    <w:p w14:paraId="67AC5AC3">
      <w:pPr>
        <w:tabs>
          <w:tab w:val="left" w:pos="8080"/>
        </w:tabs>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公告……………………………………………3-</w:t>
      </w:r>
      <w:r>
        <w:rPr>
          <w:rFonts w:hint="eastAsia" w:ascii="宋体" w:hAnsi="宋体" w:cs="宋体"/>
          <w:b/>
          <w:color w:val="auto"/>
          <w:sz w:val="32"/>
          <w:szCs w:val="32"/>
          <w:highlight w:val="none"/>
          <w:lang w:val="en-US" w:eastAsia="zh-CN"/>
        </w:rPr>
        <w:t>4</w:t>
      </w:r>
    </w:p>
    <w:p w14:paraId="6BE2CA9A">
      <w:pPr>
        <w:tabs>
          <w:tab w:val="left" w:pos="8080"/>
        </w:tabs>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5</w:t>
      </w:r>
      <w:r>
        <w:rPr>
          <w:rFonts w:hint="eastAsia" w:ascii="宋体" w:hAnsi="宋体" w:cs="宋体"/>
          <w:b/>
          <w:color w:val="auto"/>
          <w:sz w:val="32"/>
          <w:szCs w:val="32"/>
          <w:highlight w:val="none"/>
        </w:rPr>
        <w:t>-1</w:t>
      </w:r>
      <w:r>
        <w:rPr>
          <w:rFonts w:hint="eastAsia" w:ascii="宋体" w:hAnsi="宋体" w:cs="宋体"/>
          <w:b/>
          <w:color w:val="auto"/>
          <w:sz w:val="32"/>
          <w:szCs w:val="32"/>
          <w:highlight w:val="none"/>
          <w:lang w:val="en-US" w:eastAsia="zh-CN"/>
        </w:rPr>
        <w:t>1</w:t>
      </w:r>
    </w:p>
    <w:p w14:paraId="63C8ED0F">
      <w:pPr>
        <w:spacing w:before="100" w:after="100"/>
        <w:jc w:val="distribute"/>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第二章  谈判响应文件的组成…………………………1</w:t>
      </w:r>
      <w:r>
        <w:rPr>
          <w:rFonts w:hint="eastAsia" w:ascii="宋体" w:hAnsi="宋体" w:cs="宋体"/>
          <w:b/>
          <w:color w:val="auto"/>
          <w:sz w:val="32"/>
          <w:szCs w:val="32"/>
          <w:highlight w:val="none"/>
          <w:lang w:val="en-US" w:eastAsia="zh-CN"/>
        </w:rPr>
        <w:t>2</w:t>
      </w:r>
    </w:p>
    <w:p w14:paraId="4D2373F3">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13-</w:t>
      </w:r>
      <w:r>
        <w:rPr>
          <w:rFonts w:hint="eastAsia" w:ascii="宋体" w:hAnsi="宋体" w:cs="宋体"/>
          <w:b/>
          <w:color w:val="auto"/>
          <w:sz w:val="32"/>
          <w:szCs w:val="32"/>
          <w:highlight w:val="none"/>
        </w:rPr>
        <w:t>1</w:t>
      </w:r>
      <w:r>
        <w:rPr>
          <w:rFonts w:hint="eastAsia" w:ascii="宋体" w:hAnsi="宋体" w:cs="宋体"/>
          <w:b/>
          <w:color w:val="auto"/>
          <w:sz w:val="32"/>
          <w:szCs w:val="32"/>
          <w:highlight w:val="none"/>
          <w:lang w:val="en-US" w:eastAsia="zh-CN"/>
        </w:rPr>
        <w:t>4</w:t>
      </w:r>
    </w:p>
    <w:p w14:paraId="04037DF3">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15</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en-US" w:eastAsia="zh-CN"/>
        </w:rPr>
        <w:t>17</w:t>
      </w:r>
    </w:p>
    <w:p w14:paraId="63CC8A13">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18</w:t>
      </w:r>
    </w:p>
    <w:p w14:paraId="2410492F">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19</w:t>
      </w:r>
      <w:r>
        <w:rPr>
          <w:rFonts w:hint="eastAsia" w:ascii="宋体" w:hAnsi="宋体" w:cs="宋体"/>
          <w:b/>
          <w:color w:val="auto"/>
          <w:sz w:val="32"/>
          <w:szCs w:val="32"/>
          <w:highlight w:val="none"/>
        </w:rPr>
        <w:t>-</w:t>
      </w:r>
      <w:r>
        <w:rPr>
          <w:rFonts w:hint="eastAsia" w:ascii="宋体" w:hAnsi="宋体" w:cs="宋体"/>
          <w:b/>
          <w:color w:val="auto"/>
          <w:sz w:val="32"/>
          <w:szCs w:val="32"/>
          <w:highlight w:val="none"/>
          <w:lang w:val="en-US" w:eastAsia="zh-CN"/>
        </w:rPr>
        <w:t>29</w:t>
      </w:r>
    </w:p>
    <w:p w14:paraId="2608A79B">
      <w:pPr>
        <w:spacing w:before="100" w:after="100"/>
        <w:jc w:val="distribute"/>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30</w:t>
      </w:r>
    </w:p>
    <w:p w14:paraId="3BFB976F">
      <w:pPr>
        <w:spacing w:line="360" w:lineRule="auto"/>
        <w:jc w:val="center"/>
        <w:rPr>
          <w:rFonts w:ascii="宋体" w:hAnsi="宋体" w:cs="宋体"/>
          <w:b/>
          <w:bCs/>
          <w:color w:val="auto"/>
          <w:sz w:val="24"/>
          <w:szCs w:val="24"/>
          <w:highlight w:val="none"/>
        </w:rPr>
      </w:pPr>
    </w:p>
    <w:p w14:paraId="7E1097F4">
      <w:pPr>
        <w:spacing w:line="360" w:lineRule="auto"/>
        <w:jc w:val="center"/>
        <w:rPr>
          <w:rFonts w:ascii="宋体" w:hAnsi="宋体" w:cs="宋体"/>
          <w:b/>
          <w:bCs/>
          <w:color w:val="auto"/>
          <w:sz w:val="24"/>
          <w:szCs w:val="24"/>
          <w:highlight w:val="none"/>
        </w:rPr>
      </w:pPr>
    </w:p>
    <w:p w14:paraId="05FFF41F">
      <w:pPr>
        <w:spacing w:line="360" w:lineRule="auto"/>
        <w:jc w:val="center"/>
        <w:rPr>
          <w:rFonts w:ascii="宋体" w:hAnsi="宋体" w:cs="宋体"/>
          <w:b/>
          <w:bCs/>
          <w:color w:val="auto"/>
          <w:sz w:val="24"/>
          <w:szCs w:val="24"/>
          <w:highlight w:val="none"/>
        </w:rPr>
      </w:pPr>
    </w:p>
    <w:p w14:paraId="1C8E870B">
      <w:pPr>
        <w:spacing w:line="360" w:lineRule="auto"/>
        <w:jc w:val="center"/>
        <w:rPr>
          <w:rFonts w:ascii="宋体" w:hAnsi="宋体" w:cs="宋体"/>
          <w:b/>
          <w:bCs/>
          <w:color w:val="auto"/>
          <w:sz w:val="24"/>
          <w:szCs w:val="24"/>
          <w:highlight w:val="none"/>
        </w:rPr>
      </w:pPr>
    </w:p>
    <w:p w14:paraId="2BEDF933">
      <w:pPr>
        <w:spacing w:line="360" w:lineRule="auto"/>
        <w:rPr>
          <w:rFonts w:ascii="宋体" w:hAnsi="宋体" w:cs="宋体"/>
          <w:b/>
          <w:bCs/>
          <w:color w:val="auto"/>
          <w:sz w:val="24"/>
          <w:szCs w:val="24"/>
          <w:highlight w:val="none"/>
        </w:rPr>
      </w:pPr>
    </w:p>
    <w:p w14:paraId="27EE763F">
      <w:pPr>
        <w:spacing w:line="360" w:lineRule="auto"/>
        <w:rPr>
          <w:rFonts w:ascii="宋体" w:hAnsi="宋体" w:cs="宋体"/>
          <w:b/>
          <w:bCs/>
          <w:color w:val="auto"/>
          <w:sz w:val="24"/>
          <w:szCs w:val="24"/>
          <w:highlight w:val="none"/>
        </w:rPr>
      </w:pPr>
    </w:p>
    <w:p w14:paraId="00F8DF71">
      <w:pPr>
        <w:spacing w:line="360" w:lineRule="auto"/>
        <w:rPr>
          <w:rFonts w:ascii="宋体" w:hAnsi="宋体" w:cs="宋体"/>
          <w:b/>
          <w:bCs/>
          <w:color w:val="auto"/>
          <w:sz w:val="24"/>
          <w:szCs w:val="24"/>
          <w:highlight w:val="none"/>
        </w:rPr>
      </w:pPr>
    </w:p>
    <w:p w14:paraId="13C3ABFA">
      <w:pPr>
        <w:spacing w:line="360" w:lineRule="auto"/>
        <w:rPr>
          <w:rFonts w:ascii="宋体" w:hAnsi="宋体" w:cs="宋体"/>
          <w:b/>
          <w:bCs/>
          <w:color w:val="auto"/>
          <w:sz w:val="24"/>
          <w:szCs w:val="24"/>
          <w:highlight w:val="none"/>
        </w:rPr>
      </w:pPr>
    </w:p>
    <w:p w14:paraId="438DDEB6">
      <w:pPr>
        <w:spacing w:line="360" w:lineRule="auto"/>
        <w:rPr>
          <w:rFonts w:ascii="宋体" w:hAnsi="宋体" w:cs="宋体"/>
          <w:b/>
          <w:bCs/>
          <w:color w:val="auto"/>
          <w:sz w:val="24"/>
          <w:szCs w:val="24"/>
          <w:highlight w:val="none"/>
        </w:rPr>
      </w:pPr>
    </w:p>
    <w:p w14:paraId="13884376">
      <w:pPr>
        <w:spacing w:line="360" w:lineRule="auto"/>
        <w:rPr>
          <w:rFonts w:ascii="宋体" w:hAnsi="宋体" w:cs="宋体"/>
          <w:b/>
          <w:bCs/>
          <w:color w:val="auto"/>
          <w:sz w:val="24"/>
          <w:szCs w:val="24"/>
          <w:highlight w:val="none"/>
        </w:rPr>
      </w:pPr>
    </w:p>
    <w:p w14:paraId="17A3EDB3">
      <w:pPr>
        <w:spacing w:line="360" w:lineRule="auto"/>
        <w:rPr>
          <w:rFonts w:ascii="宋体" w:hAnsi="宋体" w:cs="宋体"/>
          <w:b/>
          <w:bCs/>
          <w:color w:val="auto"/>
          <w:sz w:val="24"/>
          <w:szCs w:val="24"/>
          <w:highlight w:val="none"/>
        </w:rPr>
      </w:pPr>
    </w:p>
    <w:p w14:paraId="6BC12B1F">
      <w:pPr>
        <w:snapToGrid w:val="0"/>
        <w:jc w:val="center"/>
        <w:rPr>
          <w:rFonts w:ascii="宋体" w:hAnsi="宋体"/>
          <w:b/>
          <w:color w:val="auto"/>
          <w:sz w:val="28"/>
          <w:szCs w:val="28"/>
          <w:highlight w:val="none"/>
          <w:u w:val="singl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9E530A6">
      <w:pPr>
        <w:snapToGrid w:val="0"/>
        <w:jc w:val="center"/>
        <w:rPr>
          <w:rFonts w:hint="eastAsia" w:ascii="宋体" w:hAnsi="宋体"/>
          <w:b/>
          <w:color w:val="auto"/>
          <w:sz w:val="28"/>
          <w:szCs w:val="28"/>
          <w:highlight w:val="none"/>
          <w:lang w:eastAsia="zh-CN"/>
        </w:rPr>
      </w:pPr>
      <w:bookmarkStart w:id="0" w:name="_Toc35393797"/>
      <w:bookmarkStart w:id="1" w:name="_Toc28359011"/>
      <w:bookmarkStart w:id="2" w:name="_Toc28359001"/>
      <w:bookmarkStart w:id="3" w:name="_Toc35393789"/>
      <w:r>
        <w:rPr>
          <w:rFonts w:hint="eastAsia" w:ascii="宋体" w:hAnsi="宋体"/>
          <w:b/>
          <w:color w:val="auto"/>
          <w:sz w:val="28"/>
          <w:szCs w:val="28"/>
          <w:highlight w:val="none"/>
          <w:lang w:eastAsia="zh-CN"/>
        </w:rPr>
        <w:t xml:space="preserve">警训办关于宿舍楼顶太阳能设备维修及保养项目 </w:t>
      </w:r>
    </w:p>
    <w:p w14:paraId="07C6CE4D">
      <w:pPr>
        <w:snapToGrid w:val="0"/>
        <w:jc w:val="center"/>
        <w:rPr>
          <w:rFonts w:ascii="宋体" w:hAnsi="宋体"/>
          <w:b/>
          <w:color w:val="auto"/>
          <w:sz w:val="28"/>
          <w:szCs w:val="28"/>
          <w:highlight w:val="none"/>
        </w:rPr>
      </w:pPr>
      <w:r>
        <w:rPr>
          <w:rFonts w:hint="eastAsia" w:ascii="宋体" w:hAnsi="宋体"/>
          <w:b/>
          <w:color w:val="auto"/>
          <w:sz w:val="28"/>
          <w:szCs w:val="28"/>
          <w:highlight w:val="none"/>
        </w:rPr>
        <w:t>竞争性谈判公告</w:t>
      </w:r>
      <w:bookmarkEnd w:id="0"/>
      <w:bookmarkEnd w:id="1"/>
    </w:p>
    <w:p w14:paraId="34FCF30B">
      <w:pPr>
        <w:spacing w:line="360" w:lineRule="exact"/>
        <w:ind w:firstLine="420" w:firstLineChars="200"/>
        <w:rPr>
          <w:rFonts w:cs="宋体" w:asciiTheme="minorEastAsia" w:hAnsiTheme="minorEastAsia" w:eastAsiaTheme="minorEastAsia"/>
          <w:color w:val="auto"/>
          <w:szCs w:val="21"/>
          <w:highlight w:val="none"/>
        </w:rPr>
      </w:pPr>
      <w:bookmarkStart w:id="4" w:name="_Toc35393798"/>
      <w:bookmarkStart w:id="5" w:name="_Toc35393629"/>
      <w:bookmarkStart w:id="6" w:name="_Toc28359012"/>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b/>
          <w:bCs/>
          <w:color w:val="auto"/>
          <w:szCs w:val="21"/>
          <w:highlight w:val="none"/>
          <w:lang w:eastAsia="zh-CN"/>
        </w:rPr>
        <w:t xml:space="preserve">警训办关于宿舍楼顶太阳能设备维修及保养项目 </w:t>
      </w:r>
      <w:r>
        <w:rPr>
          <w:rFonts w:hint="eastAsia" w:cs="宋体" w:asciiTheme="minorEastAsia" w:hAnsiTheme="minorEastAsia" w:eastAsiaTheme="minorEastAsia"/>
          <w:color w:val="auto"/>
          <w:szCs w:val="21"/>
          <w:highlight w:val="none"/>
        </w:rPr>
        <w:t>采购项目的潜在供应商应在</w:t>
      </w:r>
      <w:r>
        <w:rPr>
          <w:rFonts w:hint="eastAsia" w:cs="宋体" w:asciiTheme="minorEastAsia" w:hAnsiTheme="minorEastAsia" w:eastAsiaTheme="minorEastAsia"/>
          <w:b/>
          <w:bCs/>
          <w:color w:val="auto"/>
          <w:szCs w:val="21"/>
          <w:highlight w:val="none"/>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eastAsia="zh-CN"/>
        </w:rPr>
        <w:t>2026</w:t>
      </w:r>
      <w:r>
        <w:rPr>
          <w:rFonts w:hint="eastAsia" w:cs="宋体" w:asciiTheme="minorEastAsia" w:hAnsiTheme="minorEastAsia" w:eastAsiaTheme="minorEastAsia"/>
          <w:b/>
          <w:bCs/>
          <w:color w:val="auto"/>
          <w:szCs w:val="21"/>
          <w:highlight w:val="none"/>
        </w:rPr>
        <w:t>年</w:t>
      </w:r>
      <w:r>
        <w:rPr>
          <w:rFonts w:hint="eastAsia" w:cs="宋体" w:asciiTheme="minorEastAsia" w:hAnsiTheme="minorEastAsia" w:eastAsiaTheme="minorEastAsia"/>
          <w:b/>
          <w:bCs/>
          <w:color w:val="auto"/>
          <w:szCs w:val="21"/>
          <w:highlight w:val="none"/>
          <w:lang w:val="en-US" w:eastAsia="zh-CN"/>
        </w:rPr>
        <w:t>4</w:t>
      </w:r>
      <w:r>
        <w:rPr>
          <w:rFonts w:hint="eastAsia" w:cs="宋体" w:asciiTheme="minorEastAsia" w:hAnsiTheme="minorEastAsia" w:eastAsiaTheme="minorEastAsia"/>
          <w:b/>
          <w:bCs/>
          <w:color w:val="auto"/>
          <w:szCs w:val="21"/>
          <w:highlight w:val="none"/>
        </w:rPr>
        <w:t>月</w:t>
      </w:r>
      <w:r>
        <w:rPr>
          <w:rFonts w:hint="eastAsia" w:cs="宋体" w:asciiTheme="minorEastAsia" w:hAnsiTheme="minorEastAsia" w:eastAsiaTheme="minorEastAsia"/>
          <w:b/>
          <w:bCs/>
          <w:color w:val="auto"/>
          <w:szCs w:val="21"/>
          <w:highlight w:val="none"/>
          <w:lang w:val="en-US" w:eastAsia="zh-CN"/>
        </w:rPr>
        <w:t>3</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09</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30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14:paraId="36326B67">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14:paraId="2F14BBD7">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SYZB-SJ-2026005</w:t>
      </w:r>
    </w:p>
    <w:p w14:paraId="77D0A9B4">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 xml:space="preserve">警训办关于宿舍楼顶太阳能设备维修及保养项目 </w:t>
      </w:r>
    </w:p>
    <w:p w14:paraId="36825B8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lang w:val="en-US" w:eastAsia="zh-CN"/>
        </w:rPr>
        <w:t>方</w:t>
      </w:r>
      <w:r>
        <w:rPr>
          <w:rFonts w:hint="eastAsia" w:cs="宋体" w:asciiTheme="minorEastAsia" w:hAnsiTheme="minorEastAsia" w:eastAsiaTheme="minorEastAsia"/>
          <w:color w:val="auto"/>
          <w:szCs w:val="21"/>
          <w:highlight w:val="none"/>
        </w:rPr>
        <w:t>式：竞争性谈判</w:t>
      </w:r>
    </w:p>
    <w:p w14:paraId="4E369639">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6.45</w:t>
      </w:r>
      <w:r>
        <w:rPr>
          <w:rFonts w:hint="eastAsia" w:cs="宋体" w:asciiTheme="minorEastAsia" w:hAnsiTheme="minorEastAsia" w:eastAsiaTheme="minorEastAsia"/>
          <w:color w:val="auto"/>
          <w:szCs w:val="21"/>
          <w:highlight w:val="none"/>
        </w:rPr>
        <w:t>万元</w:t>
      </w:r>
      <w:r>
        <w:rPr>
          <w:rFonts w:hint="eastAsia" w:cs="宋体" w:asciiTheme="minorEastAsia" w:hAnsiTheme="minorEastAsia" w:eastAsiaTheme="minorEastAsia"/>
          <w:color w:val="auto"/>
          <w:szCs w:val="21"/>
          <w:highlight w:val="none"/>
          <w:lang w:val="en-US" w:eastAsia="zh-CN"/>
        </w:rPr>
        <w:t xml:space="preserve"> </w:t>
      </w:r>
    </w:p>
    <w:p w14:paraId="76EC007C">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6.45</w:t>
      </w:r>
      <w:r>
        <w:rPr>
          <w:rFonts w:hint="eastAsia" w:cs="宋体" w:asciiTheme="minorEastAsia" w:hAnsiTheme="minorEastAsia" w:eastAsiaTheme="minorEastAsia"/>
          <w:color w:val="auto"/>
          <w:szCs w:val="21"/>
          <w:highlight w:val="none"/>
        </w:rPr>
        <w:t>万元</w:t>
      </w:r>
      <w:r>
        <w:rPr>
          <w:rFonts w:hint="eastAsia" w:cs="宋体" w:asciiTheme="minorEastAsia" w:hAnsiTheme="minorEastAsia" w:eastAsiaTheme="minorEastAsia"/>
          <w:color w:val="auto"/>
          <w:szCs w:val="21"/>
          <w:highlight w:val="none"/>
          <w:lang w:val="en-US" w:eastAsia="zh-CN"/>
        </w:rPr>
        <w:t xml:space="preserve"> </w:t>
      </w:r>
    </w:p>
    <w:p w14:paraId="2328D5B0">
      <w:pPr>
        <w:spacing w:line="360" w:lineRule="exact"/>
        <w:ind w:firstLine="420" w:firstLineChars="200"/>
        <w:rPr>
          <w:rFonts w:hint="eastAsia" w:asciiTheme="minorEastAsia" w:hAnsiTheme="minorEastAsia" w:eastAsiaTheme="minorEastAsia" w:cstheme="minorEastAsia"/>
          <w:color w:val="auto"/>
          <w:spacing w:val="2"/>
          <w:szCs w:val="21"/>
          <w:highlight w:val="none"/>
          <w:lang w:val="en-US" w:eastAsia="zh-CN"/>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rPr>
        <w:t>本项目为</w:t>
      </w:r>
      <w:r>
        <w:rPr>
          <w:rFonts w:hint="eastAsia" w:asciiTheme="minorEastAsia" w:hAnsiTheme="minorEastAsia" w:eastAsiaTheme="minorEastAsia" w:cstheme="minorEastAsia"/>
          <w:color w:val="auto"/>
          <w:spacing w:val="2"/>
          <w:szCs w:val="21"/>
          <w:highlight w:val="none"/>
          <w:lang w:eastAsia="zh-CN"/>
        </w:rPr>
        <w:t>警训办关于宿舍楼顶太阳能设备维修及保养项目</w:t>
      </w:r>
      <w:r>
        <w:rPr>
          <w:rFonts w:hint="eastAsia" w:asciiTheme="minorEastAsia" w:hAnsiTheme="minorEastAsia" w:eastAsiaTheme="minorEastAsia" w:cstheme="minorEastAsia"/>
          <w:color w:val="auto"/>
          <w:spacing w:val="2"/>
          <w:szCs w:val="21"/>
          <w:highlight w:val="none"/>
        </w:rPr>
        <w:t>，</w:t>
      </w:r>
      <w:r>
        <w:rPr>
          <w:rFonts w:hint="eastAsia" w:asciiTheme="minorEastAsia" w:hAnsiTheme="minorEastAsia" w:eastAsiaTheme="minorEastAsia" w:cstheme="minorEastAsia"/>
          <w:color w:val="auto"/>
          <w:spacing w:val="2"/>
          <w:szCs w:val="21"/>
          <w:highlight w:val="none"/>
          <w:lang w:val="en-US" w:eastAsia="zh-CN"/>
        </w:rPr>
        <w:t>具体详见采购文件。</w:t>
      </w:r>
    </w:p>
    <w:p w14:paraId="5DAADB1F">
      <w:pPr>
        <w:spacing w:line="360" w:lineRule="exact"/>
        <w:ind w:firstLine="420" w:firstLineChars="200"/>
        <w:rPr>
          <w:rFonts w:hint="eastAsia" w:ascii="宋体" w:hAnsi="宋体" w:eastAsia="宋体" w:cs="宋体"/>
          <w:color w:val="auto"/>
          <w:sz w:val="21"/>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val="en-US" w:eastAsia="zh-CN"/>
        </w:rPr>
        <w:t>自</w:t>
      </w:r>
      <w:r>
        <w:rPr>
          <w:rFonts w:hint="eastAsia" w:cs="宋体" w:asciiTheme="minorEastAsia" w:hAnsiTheme="minorEastAsia" w:eastAsiaTheme="minorEastAsia"/>
          <w:color w:val="auto"/>
          <w:szCs w:val="21"/>
          <w:highlight w:val="none"/>
          <w:lang w:eastAsia="zh-CN"/>
        </w:rPr>
        <w:t>合同签订之日起</w:t>
      </w:r>
      <w:r>
        <w:rPr>
          <w:rFonts w:hint="eastAsia" w:cs="宋体" w:asciiTheme="minorEastAsia" w:hAnsiTheme="minorEastAsia" w:eastAsiaTheme="minorEastAsia"/>
          <w:color w:val="auto"/>
          <w:szCs w:val="21"/>
          <w:highlight w:val="none"/>
        </w:rPr>
        <w:t>开始计算，维保时间为一年</w:t>
      </w:r>
      <w:r>
        <w:rPr>
          <w:rFonts w:hint="eastAsia" w:ascii="宋体" w:hAnsi="宋体" w:eastAsia="宋体" w:cs="宋体"/>
          <w:color w:val="auto"/>
          <w:sz w:val="21"/>
          <w:szCs w:val="21"/>
          <w:highlight w:val="none"/>
        </w:rPr>
        <w:t>。</w:t>
      </w:r>
    </w:p>
    <w:p w14:paraId="7EE1059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本项目不接受联合体。</w:t>
      </w:r>
    </w:p>
    <w:p w14:paraId="16FD2425">
      <w:pPr>
        <w:snapToGrid w:val="0"/>
        <w:spacing w:line="360" w:lineRule="exact"/>
        <w:ind w:firstLine="422" w:firstLineChars="200"/>
        <w:rPr>
          <w:rFonts w:asciiTheme="minorEastAsia" w:hAnsiTheme="minorEastAsia" w:eastAsiaTheme="minorEastAsia"/>
          <w:b/>
          <w:bCs/>
          <w:color w:val="auto"/>
          <w:szCs w:val="21"/>
          <w:highlight w:val="none"/>
        </w:rPr>
      </w:pPr>
      <w:bookmarkStart w:id="8" w:name="_Toc28359090"/>
      <w:bookmarkStart w:id="9" w:name="_Toc35393630"/>
      <w:bookmarkStart w:id="10" w:name="_Toc28359013"/>
      <w:bookmarkStart w:id="11" w:name="_Toc35393799"/>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14:paraId="51AC6D29">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14:paraId="38366E1E">
      <w:pPr>
        <w:spacing w:line="360" w:lineRule="exact"/>
        <w:ind w:firstLine="420" w:firstLineChars="200"/>
        <w:rPr>
          <w:rFonts w:hint="eastAsia" w:cs="宋体" w:asciiTheme="minorEastAsia" w:hAnsiTheme="minorEastAsia" w:eastAsiaTheme="minorEastAsia"/>
          <w:color w:val="auto"/>
          <w:szCs w:val="21"/>
          <w:highlight w:val="none"/>
        </w:rPr>
      </w:pPr>
      <w:bookmarkStart w:id="12" w:name="_Toc28359014"/>
      <w:bookmarkStart w:id="13" w:name="_Toc28359091"/>
      <w:r>
        <w:rPr>
          <w:rFonts w:hint="eastAsia" w:cs="宋体" w:asciiTheme="minorEastAsia" w:hAnsiTheme="minorEastAsia" w:eastAsiaTheme="minorEastAsia"/>
          <w:color w:val="auto"/>
          <w:szCs w:val="21"/>
          <w:highlight w:val="none"/>
        </w:rPr>
        <w:t>2.落实政府采购政策需满足的资格要求：</w:t>
      </w:r>
    </w:p>
    <w:p w14:paraId="51722382">
      <w:pPr>
        <w:spacing w:line="360" w:lineRule="exact"/>
        <w:ind w:firstLine="420" w:firstLineChars="200"/>
        <w:rPr>
          <w:rFonts w:ascii="宋体" w:hAnsi="宋体" w:cs="宋体"/>
          <w:b w:val="0"/>
          <w:bCs w:val="0"/>
          <w:color w:val="auto"/>
          <w:szCs w:val="21"/>
          <w:highlight w:val="none"/>
        </w:rPr>
      </w:pPr>
      <w:bookmarkStart w:id="14" w:name="_Toc35393800"/>
      <w:bookmarkStart w:id="15" w:name="_Toc35393631"/>
      <w:r>
        <w:rPr>
          <w:rFonts w:hint="eastAsia" w:ascii="宋体" w:hAnsi="宋体" w:cs="宋体"/>
          <w:b w:val="0"/>
          <w:bCs w:val="0"/>
          <w:color w:val="auto"/>
          <w:szCs w:val="21"/>
          <w:highlight w:val="none"/>
        </w:rPr>
        <w:t>2.1 中小企业政策</w:t>
      </w:r>
    </w:p>
    <w:p w14:paraId="70CEE9E7">
      <w:pPr>
        <w:spacing w:line="360" w:lineRule="exact"/>
        <w:ind w:firstLine="420" w:firstLineChars="200"/>
        <w:rPr>
          <w:rFonts w:ascii="宋体" w:hAnsi="宋体" w:cs="宋体"/>
          <w:b w:val="0"/>
          <w:bCs w:val="0"/>
          <w:color w:val="auto"/>
          <w:szCs w:val="21"/>
          <w:highlight w:val="none"/>
        </w:rPr>
      </w:pPr>
      <w:r>
        <w:rPr>
          <w:rFonts w:hint="eastAsia" w:ascii="宋体" w:hAnsi="宋体" w:cs="宋体"/>
          <w:b w:val="0"/>
          <w:bCs w:val="0"/>
          <w:color w:val="auto"/>
          <w:szCs w:val="21"/>
          <w:highlight w:val="none"/>
        </w:rPr>
        <w:t>□本项目不专门面向中小企业预留采购份额。</w:t>
      </w:r>
    </w:p>
    <w:p w14:paraId="52C7B1DD">
      <w:pPr>
        <w:spacing w:line="360" w:lineRule="auto"/>
        <w:ind w:firstLine="420" w:firstLineChars="200"/>
        <w:rPr>
          <w:rFonts w:ascii="宋体" w:hAnsi="宋体" w:cs="宋体"/>
          <w:b w:val="0"/>
          <w:bCs w:val="0"/>
          <w:color w:val="auto"/>
          <w:szCs w:val="21"/>
          <w:highlight w:val="none"/>
        </w:rPr>
      </w:pPr>
      <w:r>
        <w:rPr>
          <w:rFonts w:hint="eastAsia" w:ascii="宋体" w:hAnsi="宋体" w:cs="宋体"/>
          <w:b w:val="0"/>
          <w:bCs w:val="0"/>
          <w:color w:val="auto"/>
          <w:szCs w:val="21"/>
          <w:highlight w:val="none"/>
        </w:rPr>
        <w:t>■本项目专门面向  ■中小 □小微企业  采购。即：提供的服务全部由符合政策要求的中小企业承接。</w:t>
      </w:r>
    </w:p>
    <w:p w14:paraId="6CADCF2A">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ascii="宋体" w:hAnsi="宋体" w:cs="宋体"/>
          <w:b w:val="0"/>
          <w:bCs w:val="0"/>
          <w:color w:val="auto"/>
          <w:szCs w:val="21"/>
          <w:highlight w:val="none"/>
        </w:rPr>
        <w:t>2.2 其它落实政府采购政策的资格要求：</w:t>
      </w:r>
      <w:r>
        <w:rPr>
          <w:rFonts w:hint="eastAsia" w:ascii="宋体" w:hAnsi="宋体" w:cs="宋体"/>
          <w:b w:val="0"/>
          <w:bCs w:val="0"/>
          <w:color w:val="auto"/>
          <w:szCs w:val="21"/>
          <w:highlight w:val="none"/>
          <w:u w:val="single"/>
        </w:rPr>
        <w:t xml:space="preserve">  / </w:t>
      </w:r>
      <w:r>
        <w:rPr>
          <w:rFonts w:hint="eastAsia" w:ascii="宋体" w:hAnsi="宋体" w:cs="宋体"/>
          <w:b w:val="0"/>
          <w:bCs w:val="0"/>
          <w:color w:val="auto"/>
          <w:szCs w:val="21"/>
          <w:highlight w:val="none"/>
        </w:rPr>
        <w:t xml:space="preserve"> </w:t>
      </w:r>
      <w:r>
        <w:rPr>
          <w:rFonts w:hint="eastAsia" w:cs="宋体" w:asciiTheme="minorEastAsia" w:hAnsiTheme="minorEastAsia" w:eastAsiaTheme="minorEastAsia"/>
          <w:b w:val="0"/>
          <w:bCs w:val="0"/>
          <w:color w:val="auto"/>
          <w:szCs w:val="21"/>
          <w:highlight w:val="none"/>
        </w:rPr>
        <w:t>。</w:t>
      </w:r>
    </w:p>
    <w:p w14:paraId="77995CB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14:paraId="73D91730">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（1）单位负责人为同一人或者存在直接控股、管理关系的不同供应商，不得参加同一合同项下的采购活动；</w:t>
      </w:r>
    </w:p>
    <w:p w14:paraId="0221BD5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（2）未被“信用中国 ”网站（www.creditchina.gov.cn）或“中国政府采购网”网站（www.ccgp.gov.cn）列入失信被执行人、重大税收违法案件当事人名单(即重大税收违法失信主体名单)、政府采购严重违法失信行为记录名单（采购代理机构谈判当天查询，供应商无需提供证明材料）。</w:t>
      </w:r>
    </w:p>
    <w:p w14:paraId="1B74F688">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14:paraId="70CCDB03">
      <w:pPr>
        <w:spacing w:line="360" w:lineRule="exact"/>
        <w:ind w:firstLine="420" w:firstLineChars="200"/>
        <w:rPr>
          <w:rFonts w:hint="eastAsia" w:ascii="宋体" w:hAnsi="宋体" w:cs="宋体"/>
          <w:color w:val="auto"/>
          <w:szCs w:val="21"/>
          <w:highlight w:val="none"/>
        </w:rPr>
      </w:pPr>
      <w:bookmarkStart w:id="16" w:name="_Toc35393801"/>
      <w:bookmarkStart w:id="17" w:name="_Toc28359092"/>
      <w:bookmarkStart w:id="18" w:name="_Toc28359015"/>
      <w:bookmarkStart w:id="19" w:name="_Toc35393632"/>
      <w:r>
        <w:rPr>
          <w:rFonts w:hint="eastAsia" w:ascii="宋体" w:hAnsi="宋体" w:cs="宋体"/>
          <w:color w:val="auto"/>
          <w:szCs w:val="21"/>
          <w:highlight w:val="none"/>
        </w:rPr>
        <w:t>时间：2026年</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日起</w:t>
      </w:r>
    </w:p>
    <w:p w14:paraId="53EE379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方式：符合条件的供应商网上自行下载</w:t>
      </w:r>
    </w:p>
    <w:p w14:paraId="73EE11F5">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售价：不收取费用。</w:t>
      </w:r>
    </w:p>
    <w:p w14:paraId="610FD073">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14:paraId="4F7AB27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截止时间：</w:t>
      </w:r>
      <w:r>
        <w:rPr>
          <w:rFonts w:hint="eastAsia" w:cs="宋体" w:asciiTheme="minorEastAsia" w:hAnsiTheme="minorEastAsia" w:eastAsiaTheme="minorEastAsia"/>
          <w:color w:val="auto"/>
          <w:szCs w:val="21"/>
          <w:highlight w:val="none"/>
          <w:lang w:eastAsia="zh-CN"/>
        </w:rPr>
        <w:t>2026年</w:t>
      </w: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lang w:eastAsia="zh-CN"/>
        </w:rPr>
        <w:t>月</w:t>
      </w: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lang w:eastAsia="zh-CN"/>
        </w:rPr>
        <w:t>日</w:t>
      </w:r>
      <w:r>
        <w:rPr>
          <w:rFonts w:hint="eastAsia" w:cs="宋体" w:asciiTheme="minorEastAsia" w:hAnsiTheme="minorEastAsia" w:eastAsiaTheme="minorEastAsia"/>
          <w:color w:val="auto"/>
          <w:szCs w:val="21"/>
          <w:highlight w:val="none"/>
          <w:lang w:val="en-US" w:eastAsia="zh-CN"/>
        </w:rPr>
        <w:t>09</w:t>
      </w:r>
      <w:r>
        <w:rPr>
          <w:rFonts w:hint="eastAsia" w:cs="宋体" w:asciiTheme="minorEastAsia" w:hAnsiTheme="minorEastAsia" w:eastAsiaTheme="minorEastAsia"/>
          <w:color w:val="auto"/>
          <w:szCs w:val="21"/>
          <w:highlight w:val="none"/>
          <w:lang w:eastAsia="zh-CN"/>
        </w:rPr>
        <w:t>点</w:t>
      </w:r>
      <w:r>
        <w:rPr>
          <w:rFonts w:hint="eastAsia" w:cs="宋体" w:asciiTheme="minorEastAsia" w:hAnsiTheme="minorEastAsia" w:eastAsiaTheme="minorEastAsia"/>
          <w:color w:val="auto"/>
          <w:szCs w:val="21"/>
          <w:highlight w:val="none"/>
          <w:lang w:val="en-US" w:eastAsia="zh-CN"/>
        </w:rPr>
        <w:t>30</w:t>
      </w:r>
      <w:r>
        <w:rPr>
          <w:rFonts w:hint="eastAsia" w:cs="宋体" w:asciiTheme="minorEastAsia" w:hAnsiTheme="minorEastAsia" w:eastAsiaTheme="minorEastAsia"/>
          <w:color w:val="auto"/>
          <w:szCs w:val="21"/>
          <w:highlight w:val="none"/>
          <w:lang w:eastAsia="zh-CN"/>
        </w:rPr>
        <w:t>分</w:t>
      </w:r>
      <w:r>
        <w:rPr>
          <w:rFonts w:hint="eastAsia" w:cs="宋体" w:asciiTheme="minorEastAsia" w:hAnsiTheme="minorEastAsia" w:eastAsiaTheme="minorEastAsia"/>
          <w:color w:val="auto"/>
          <w:szCs w:val="21"/>
          <w:highlight w:val="none"/>
        </w:rPr>
        <w:t>（北京时间）</w:t>
      </w:r>
    </w:p>
    <w:p w14:paraId="6F27CB2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地点：江苏尚阳工程管理有限公司（常州市新北区嵩山路1-301号（太湖明珠苑综合市场3楼））</w:t>
      </w:r>
    </w:p>
    <w:p w14:paraId="7C9BAE6F">
      <w:pPr>
        <w:snapToGrid w:val="0"/>
        <w:spacing w:line="360" w:lineRule="exact"/>
        <w:ind w:firstLine="422" w:firstLineChars="200"/>
        <w:rPr>
          <w:rFonts w:asciiTheme="minorEastAsia" w:hAnsiTheme="minorEastAsia" w:eastAsiaTheme="minorEastAsia"/>
          <w:b/>
          <w:bCs/>
          <w:color w:val="auto"/>
          <w:szCs w:val="21"/>
          <w:highlight w:val="none"/>
        </w:rPr>
      </w:pPr>
      <w:bookmarkStart w:id="20" w:name="_Toc28359094"/>
      <w:bookmarkStart w:id="21" w:name="_Toc35393634"/>
      <w:bookmarkStart w:id="22" w:name="_Toc35393803"/>
      <w:bookmarkStart w:id="23" w:name="_Toc28359017"/>
      <w:r>
        <w:rPr>
          <w:rFonts w:hint="eastAsia" w:asciiTheme="minorEastAsia" w:hAnsiTheme="minorEastAsia" w:eastAsiaTheme="minorEastAsia"/>
          <w:b/>
          <w:bCs/>
          <w:color w:val="auto"/>
          <w:szCs w:val="21"/>
          <w:highlight w:val="none"/>
        </w:rPr>
        <w:t>五、公告期限</w:t>
      </w:r>
      <w:bookmarkEnd w:id="20"/>
      <w:bookmarkEnd w:id="21"/>
      <w:bookmarkEnd w:id="22"/>
      <w:bookmarkEnd w:id="23"/>
    </w:p>
    <w:p w14:paraId="1012343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14:paraId="72E8B3BF">
      <w:pPr>
        <w:snapToGrid w:val="0"/>
        <w:spacing w:line="360" w:lineRule="exact"/>
        <w:ind w:firstLine="422" w:firstLineChars="200"/>
        <w:rPr>
          <w:rFonts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14:paraId="30F4BDB5">
      <w:pPr>
        <w:spacing w:line="360" w:lineRule="exact"/>
        <w:ind w:firstLine="420" w:firstLineChars="200"/>
        <w:rPr>
          <w:rFonts w:cs="宋体" w:asciiTheme="minorEastAsia" w:hAnsiTheme="minorEastAsia" w:eastAsiaTheme="minorEastAsia"/>
          <w:color w:val="auto"/>
          <w:szCs w:val="21"/>
          <w:highlight w:val="none"/>
        </w:rPr>
      </w:pPr>
      <w:bookmarkStart w:id="26" w:name="_Toc35393636"/>
      <w:bookmarkStart w:id="27" w:name="_Toc35393805"/>
      <w:bookmarkStart w:id="28" w:name="_Toc28359018"/>
      <w:bookmarkStart w:id="29" w:name="_Toc28359095"/>
      <w:r>
        <w:rPr>
          <w:rFonts w:hint="eastAsia" w:cs="宋体" w:asciiTheme="minorEastAsia" w:hAnsiTheme="minorEastAsia" w:eastAsiaTheme="minorEastAsia"/>
          <w:color w:val="auto"/>
          <w:szCs w:val="21"/>
          <w:highlight w:val="none"/>
        </w:rPr>
        <w:t>1.现场勘查及标前答疑</w:t>
      </w:r>
    </w:p>
    <w:p w14:paraId="7C59514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（1）供应商自行踏勘现场</w:t>
      </w:r>
    </w:p>
    <w:p w14:paraId="72F210DA">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（2）标前答疑</w:t>
      </w:r>
    </w:p>
    <w:p w14:paraId="43A4D8F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14:paraId="260D2961">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.说明</w:t>
      </w:r>
    </w:p>
    <w:p w14:paraId="472CE9E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采购文件售后一概不退。供应商递交的响应文件概不退还。</w:t>
      </w:r>
      <w:r>
        <w:rPr>
          <w:rFonts w:hint="eastAsia" w:cs="宋体" w:asciiTheme="minorEastAsia" w:hAnsiTheme="minorEastAsia" w:eastAsiaTheme="minorEastAsia"/>
          <w:color w:val="auto"/>
          <w:szCs w:val="21"/>
          <w:highlight w:val="none"/>
          <w:lang w:eastAsia="zh-Hans"/>
        </w:rPr>
        <w:t>领取了采购文件的</w:t>
      </w:r>
      <w:r>
        <w:rPr>
          <w:rFonts w:hint="eastAsia" w:cs="宋体" w:asciiTheme="minorEastAsia" w:hAnsiTheme="minorEastAsia" w:eastAsiaTheme="minorEastAsia"/>
          <w:color w:val="auto"/>
          <w:szCs w:val="21"/>
          <w:highlight w:val="none"/>
        </w:rPr>
        <w:t>，供应商不得更改单位名称。</w:t>
      </w:r>
    </w:p>
    <w:p w14:paraId="699FC840">
      <w:pPr>
        <w:snapToGrid w:val="0"/>
        <w:spacing w:line="360" w:lineRule="exact"/>
        <w:ind w:firstLine="422" w:firstLineChars="200"/>
        <w:rPr>
          <w:rFonts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14:paraId="602E2A99">
      <w:pPr>
        <w:spacing w:line="360" w:lineRule="exact"/>
        <w:ind w:firstLine="420" w:firstLineChars="200"/>
        <w:rPr>
          <w:rFonts w:cs="宋体" w:asciiTheme="minorEastAsia" w:hAnsiTheme="minorEastAsia" w:eastAsiaTheme="minorEastAsia"/>
          <w:color w:val="auto"/>
          <w:szCs w:val="21"/>
          <w:highlight w:val="none"/>
        </w:rPr>
      </w:pPr>
      <w:bookmarkStart w:id="30" w:name="_Toc28359096"/>
      <w:bookmarkStart w:id="31" w:name="_Toc28359019"/>
      <w:bookmarkStart w:id="32" w:name="_Toc35393806"/>
      <w:bookmarkStart w:id="33" w:name="_Toc35393637"/>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14:paraId="3BFF3F4E">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w:t>
      </w:r>
      <w:r>
        <w:rPr>
          <w:rFonts w:hint="eastAsia" w:cs="宋体" w:asciiTheme="minorEastAsia" w:hAnsiTheme="minorEastAsia" w:eastAsiaTheme="minorEastAsia"/>
          <w:color w:val="auto"/>
          <w:szCs w:val="21"/>
          <w:highlight w:val="none"/>
        </w:rPr>
        <w:t>称：</w:t>
      </w:r>
      <w:r>
        <w:rPr>
          <w:rFonts w:hint="eastAsia" w:cs="宋体" w:asciiTheme="minorEastAsia" w:hAnsiTheme="minorEastAsia" w:eastAsiaTheme="minorEastAsia"/>
          <w:color w:val="auto"/>
          <w:szCs w:val="21"/>
          <w:highlight w:val="none"/>
          <w:lang w:eastAsia="zh-CN"/>
        </w:rPr>
        <w:t>常州市公安局</w:t>
      </w:r>
    </w:p>
    <w:p w14:paraId="3A62648D">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地址：常州市新北区龙锦路1588号</w:t>
      </w:r>
    </w:p>
    <w:p w14:paraId="13D9DF19">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 xml:space="preserve">邵先生，0519-81993183   </w:t>
      </w:r>
    </w:p>
    <w:p w14:paraId="73AE540D">
      <w:pPr>
        <w:spacing w:line="360" w:lineRule="exact"/>
        <w:ind w:firstLine="420" w:firstLineChars="200"/>
        <w:rPr>
          <w:rFonts w:cs="宋体" w:asciiTheme="minorEastAsia" w:hAnsiTheme="minorEastAsia" w:eastAsiaTheme="minorEastAsia"/>
          <w:color w:val="auto"/>
          <w:szCs w:val="21"/>
          <w:highlight w:val="none"/>
        </w:rPr>
      </w:pPr>
      <w:bookmarkStart w:id="34" w:name="_Toc35393638"/>
      <w:bookmarkStart w:id="35" w:name="_Toc28359020"/>
      <w:bookmarkStart w:id="36" w:name="_Toc35393807"/>
      <w:bookmarkStart w:id="37" w:name="_Toc28359097"/>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14:paraId="3EB956B8">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名称：江苏尚阳工程管理有限公司</w:t>
      </w:r>
    </w:p>
    <w:p w14:paraId="48F8AA3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地址：常州市新北区嵩山路1-301号（太湖明珠苑综合市场3楼）</w:t>
      </w:r>
    </w:p>
    <w:p w14:paraId="24A7854C">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14:paraId="0632AE57">
      <w:pPr>
        <w:spacing w:line="360" w:lineRule="exact"/>
        <w:ind w:firstLine="420" w:firstLineChars="200"/>
        <w:rPr>
          <w:rFonts w:cs="宋体" w:asciiTheme="minorEastAsia" w:hAnsiTheme="minorEastAsia" w:eastAsiaTheme="minorEastAsia"/>
          <w:color w:val="auto"/>
          <w:szCs w:val="21"/>
          <w:highlight w:val="none"/>
        </w:rPr>
      </w:pPr>
      <w:bookmarkStart w:id="38" w:name="_Toc35393639"/>
      <w:bookmarkStart w:id="39" w:name="_Toc28359021"/>
      <w:bookmarkStart w:id="40" w:name="_Toc28359098"/>
      <w:bookmarkStart w:id="41" w:name="_Toc35393808"/>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14:paraId="5E4F5B5F">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项目联系人：单馨莹</w:t>
      </w:r>
    </w:p>
    <w:p w14:paraId="258D3ABD">
      <w:pPr>
        <w:snapToGrid w:val="0"/>
        <w:spacing w:line="360" w:lineRule="auto"/>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电话：0519-88818295（8001）</w:t>
      </w:r>
      <w:bookmarkEnd w:id="2"/>
      <w:bookmarkEnd w:id="3"/>
    </w:p>
    <w:p w14:paraId="4CDA4BB8">
      <w:pPr>
        <w:snapToGrid w:val="0"/>
        <w:spacing w:line="360" w:lineRule="auto"/>
        <w:rPr>
          <w:rFonts w:hint="eastAsia" w:cs="宋体" w:asciiTheme="minorEastAsia" w:hAnsiTheme="minorEastAsia" w:eastAsiaTheme="minorEastAsia"/>
          <w:color w:val="auto"/>
          <w:szCs w:val="21"/>
          <w:highlight w:val="none"/>
        </w:rPr>
      </w:pPr>
    </w:p>
    <w:p w14:paraId="1C963A98">
      <w:pPr>
        <w:snapToGrid w:val="0"/>
        <w:spacing w:line="360" w:lineRule="auto"/>
        <w:rPr>
          <w:rFonts w:hint="eastAsia" w:cs="宋体" w:asciiTheme="minorEastAsia" w:hAnsiTheme="minorEastAsia" w:eastAsiaTheme="minorEastAsia"/>
          <w:color w:val="auto"/>
          <w:szCs w:val="21"/>
          <w:highlight w:val="none"/>
        </w:rPr>
      </w:pPr>
    </w:p>
    <w:p w14:paraId="65D8F5C8">
      <w:pPr>
        <w:rPr>
          <w:rFonts w:hint="eastAsia" w:ascii="宋体" w:hAnsi="宋体"/>
          <w:b/>
          <w:bCs/>
          <w:color w:val="auto"/>
          <w:sz w:val="24"/>
          <w:szCs w:val="24"/>
          <w:highlight w:val="none"/>
        </w:rPr>
      </w:pPr>
      <w:r>
        <w:rPr>
          <w:rFonts w:hint="eastAsia" w:ascii="宋体" w:hAnsi="宋体"/>
          <w:b/>
          <w:bCs/>
          <w:color w:val="auto"/>
          <w:sz w:val="24"/>
          <w:szCs w:val="24"/>
          <w:highlight w:val="none"/>
        </w:rPr>
        <w:br w:type="page"/>
      </w:r>
    </w:p>
    <w:p w14:paraId="4502DF32">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14:paraId="205D200A">
      <w:pPr>
        <w:spacing w:line="360" w:lineRule="exact"/>
        <w:rPr>
          <w:rFonts w:hint="eastAsia" w:ascii="宋体" w:hAnsi="宋体" w:cs="宋体"/>
          <w:b/>
          <w:bCs/>
          <w:color w:val="auto"/>
          <w:szCs w:val="21"/>
          <w:highlight w:val="none"/>
        </w:rPr>
      </w:pPr>
    </w:p>
    <w:p w14:paraId="434FC4BE">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lang w:eastAsia="zh-CN"/>
        </w:rPr>
        <w:t>采购方式</w:t>
      </w:r>
    </w:p>
    <w:p w14:paraId="73F4E821">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14:paraId="51C93628">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14:paraId="2FF591B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14:paraId="164ABC4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14:paraId="18A85F16">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14:paraId="6F2AC9F2">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14:paraId="611AB974">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14:paraId="2B5C829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14:paraId="0713EC7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14:paraId="505D3CA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14:paraId="1B8C1CA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14:paraId="4F7A0488">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14:paraId="38A76E63">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14:paraId="2802EF45">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14:paraId="5AB29A98">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14:paraId="74CD120F">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14:paraId="78DA7E08">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14:paraId="7DE419B4">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14:paraId="2C6D7566">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14:paraId="21D3FB86">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14:paraId="79F01AF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14:paraId="37ABCD3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14:paraId="6F7D2315">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14:paraId="6ED14308">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14:paraId="7CB8C1F9">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14:paraId="6ECB2B6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14:paraId="5DE6CB9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14:paraId="5806952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14:paraId="634043C2">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w:t>
      </w:r>
      <w:r>
        <w:rPr>
          <w:rFonts w:hint="eastAsia" w:ascii="宋体" w:hAnsi="宋体" w:cs="宋体"/>
          <w:b/>
          <w:color w:val="auto"/>
          <w:szCs w:val="21"/>
          <w:highlight w:val="none"/>
          <w:lang w:val="en-US" w:eastAsia="zh-CN"/>
        </w:rPr>
        <w:t>或</w:t>
      </w:r>
      <w:r>
        <w:rPr>
          <w:rFonts w:hint="eastAsia" w:ascii="宋体" w:hAnsi="宋体" w:cs="宋体"/>
          <w:b/>
          <w:color w:val="auto"/>
          <w:szCs w:val="21"/>
          <w:highlight w:val="none"/>
        </w:rPr>
        <w:t>最高</w:t>
      </w:r>
      <w:r>
        <w:rPr>
          <w:rFonts w:hint="eastAsia" w:ascii="宋体" w:hAnsi="宋体" w:cs="宋体"/>
          <w:b/>
          <w:color w:val="auto"/>
          <w:szCs w:val="21"/>
          <w:highlight w:val="none"/>
          <w:lang w:val="en-US" w:eastAsia="zh-CN"/>
        </w:rPr>
        <w:t>单价</w:t>
      </w:r>
      <w:r>
        <w:rPr>
          <w:rFonts w:hint="eastAsia" w:ascii="宋体" w:hAnsi="宋体" w:cs="宋体"/>
          <w:b/>
          <w:color w:val="auto"/>
          <w:szCs w:val="21"/>
          <w:highlight w:val="none"/>
        </w:rPr>
        <w:t>限价的</w:t>
      </w:r>
      <w:r>
        <w:rPr>
          <w:rFonts w:hint="eastAsia" w:ascii="宋体" w:hAnsi="宋体" w:cs="宋体"/>
          <w:b/>
          <w:color w:val="auto"/>
          <w:szCs w:val="21"/>
          <w:highlight w:val="none"/>
          <w:lang w:val="en-US" w:eastAsia="zh-CN"/>
        </w:rPr>
        <w:t>均</w:t>
      </w:r>
      <w:r>
        <w:rPr>
          <w:rFonts w:hint="eastAsia" w:ascii="宋体" w:hAnsi="宋体" w:cs="宋体"/>
          <w:b/>
          <w:color w:val="auto"/>
          <w:szCs w:val="21"/>
          <w:highlight w:val="none"/>
        </w:rPr>
        <w:t>作为无效响应处理。</w:t>
      </w:r>
    </w:p>
    <w:p w14:paraId="099539C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14:paraId="0359F3CD">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14:paraId="71BB0E5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14:paraId="71575504">
      <w:pPr>
        <w:spacing w:line="360" w:lineRule="exact"/>
        <w:rPr>
          <w:rFonts w:ascii="宋体" w:hAnsi="宋体" w:cs="宋体"/>
          <w:color w:val="auto"/>
          <w:szCs w:val="21"/>
          <w:highlight w:val="none"/>
        </w:rPr>
      </w:pP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14:paraId="7885BE5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rPr>
        <w:t>电子</w:t>
      </w:r>
      <w:r>
        <w:rPr>
          <w:rFonts w:ascii="宋体" w:hAnsi="宋体" w:cs="宋体"/>
          <w:b/>
          <w:bCs/>
          <w:color w:val="auto"/>
          <w:szCs w:val="21"/>
          <w:highlight w:val="none"/>
          <w:u w:val="none"/>
        </w:rPr>
        <w:t>光盘</w:t>
      </w:r>
      <w:r>
        <w:rPr>
          <w:rFonts w:hint="eastAsia" w:ascii="宋体" w:hAnsi="宋体" w:cs="宋体"/>
          <w:b/>
          <w:bCs/>
          <w:color w:val="auto"/>
          <w:szCs w:val="21"/>
          <w:highlight w:val="none"/>
          <w:u w:val="none"/>
          <w:lang w:val="en-US" w:eastAsia="zh-CN"/>
        </w:rPr>
        <w:t>或U盘</w:t>
      </w:r>
      <w:r>
        <w:rPr>
          <w:rFonts w:ascii="宋体" w:hAnsi="宋体" w:cs="宋体"/>
          <w:b/>
          <w:bCs/>
          <w:color w:val="auto"/>
          <w:szCs w:val="21"/>
          <w:highlight w:val="none"/>
          <w:u w:val="none"/>
        </w:rPr>
        <w:t>”</w:t>
      </w:r>
      <w:r>
        <w:rPr>
          <w:rFonts w:hint="eastAsia" w:ascii="宋体" w:hAnsi="宋体" w:cs="宋体"/>
          <w:b/>
          <w:bCs/>
          <w:color w:val="auto"/>
          <w:szCs w:val="21"/>
          <w:highlight w:val="none"/>
          <w:u w:val="none"/>
        </w:rPr>
        <w:t>（光盘</w:t>
      </w:r>
      <w:r>
        <w:rPr>
          <w:rFonts w:hint="eastAsia" w:ascii="宋体" w:hAnsi="宋体" w:cs="宋体"/>
          <w:b/>
          <w:bCs/>
          <w:color w:val="auto"/>
          <w:szCs w:val="21"/>
          <w:highlight w:val="none"/>
          <w:u w:val="none"/>
          <w:lang w:val="en-US" w:eastAsia="zh-CN"/>
        </w:rPr>
        <w:t>或U盘</w:t>
      </w:r>
      <w:r>
        <w:rPr>
          <w:rFonts w:ascii="宋体" w:hAnsi="宋体" w:cs="宋体"/>
          <w:b/>
          <w:bCs/>
          <w:color w:val="auto"/>
          <w:szCs w:val="21"/>
          <w:highlight w:val="none"/>
          <w:u w:val="none"/>
        </w:rPr>
        <w:t>中含全套</w:t>
      </w:r>
      <w:r>
        <w:rPr>
          <w:rFonts w:hint="eastAsia" w:ascii="宋体" w:hAnsi="宋体" w:cs="宋体"/>
          <w:b/>
          <w:bCs/>
          <w:color w:val="auto"/>
          <w:szCs w:val="21"/>
          <w:highlight w:val="none"/>
          <w:u w:val="none"/>
        </w:rPr>
        <w:t>正本</w:t>
      </w:r>
      <w:r>
        <w:rPr>
          <w:rFonts w:hint="eastAsia" w:ascii="宋体" w:hAnsi="宋体" w:cs="宋体"/>
          <w:b/>
          <w:bCs/>
          <w:color w:val="auto"/>
          <w:szCs w:val="21"/>
          <w:highlight w:val="none"/>
          <w:u w:val="none"/>
          <w:lang w:eastAsia="zh-CN"/>
        </w:rPr>
        <w:t>谈判</w:t>
      </w:r>
      <w:r>
        <w:rPr>
          <w:rFonts w:ascii="宋体" w:hAnsi="宋体" w:cs="宋体"/>
          <w:b/>
          <w:bCs/>
          <w:color w:val="auto"/>
          <w:szCs w:val="21"/>
          <w:highlight w:val="none"/>
          <w:u w:val="none"/>
        </w:rPr>
        <w:t>响应文件</w:t>
      </w:r>
      <w:r>
        <w:rPr>
          <w:rFonts w:hint="eastAsia" w:ascii="宋体" w:hAnsi="宋体" w:cs="宋体"/>
          <w:b/>
          <w:bCs/>
          <w:color w:val="auto"/>
          <w:szCs w:val="21"/>
          <w:highlight w:val="none"/>
          <w:u w:val="none"/>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14:paraId="0FB0494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14:paraId="3C704C0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14:paraId="78B9BDE1">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9</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14:paraId="1879A787">
      <w:pPr>
        <w:spacing w:line="360" w:lineRule="exac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14:paraId="63FAB9A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14:paraId="2769F352">
      <w:pPr>
        <w:spacing w:line="360" w:lineRule="exact"/>
        <w:rPr>
          <w:rFonts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14:paraId="3E7C8D74">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须装订成册并加以密封，电子光盘或U盘应当单独密封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14:paraId="406A6B9F">
      <w:pPr>
        <w:spacing w:line="360" w:lineRule="exac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14:paraId="2B2D625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14:paraId="60A0CD51">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14:paraId="73FA9409">
      <w:pPr>
        <w:spacing w:line="360" w:lineRule="exact"/>
        <w:rPr>
          <w:rFonts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14:paraId="63C5492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14:paraId="6828132D">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14:paraId="6CC0D16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14:paraId="6E1117E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w:t>
      </w:r>
    </w:p>
    <w:p w14:paraId="5FC431C7">
      <w:pPr>
        <w:spacing w:line="360" w:lineRule="exac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14:paraId="2549AC2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14:paraId="2086E8F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14:paraId="49795470">
      <w:pPr>
        <w:spacing w:line="360" w:lineRule="exact"/>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14:paraId="789AB7CE">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w:t>
      </w:r>
      <w:r>
        <w:rPr>
          <w:rFonts w:hint="eastAsia" w:ascii="宋体" w:hAnsi="宋体" w:cs="宋体"/>
          <w:color w:val="auto"/>
          <w:szCs w:val="21"/>
          <w:highlight w:val="none"/>
          <w:lang w:eastAsia="zh-CN"/>
        </w:rPr>
        <w:t>候选</w:t>
      </w:r>
      <w:r>
        <w:rPr>
          <w:rFonts w:hint="eastAsia" w:ascii="宋体" w:hAnsi="宋体" w:cs="宋体"/>
          <w:color w:val="auto"/>
          <w:szCs w:val="21"/>
          <w:highlight w:val="none"/>
        </w:rPr>
        <w:t>人。</w:t>
      </w:r>
    </w:p>
    <w:p w14:paraId="5229105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14:paraId="6394604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14:paraId="6DF4190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14:paraId="4426697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14:paraId="3FD12DD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14:paraId="48F63D4A">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14:paraId="63CC020C">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15.2.6谈判小组决定谈判的响应性只根据谈判响应文件本身的内容，而不寻求外部的证据；</w:t>
      </w:r>
    </w:p>
    <w:p w14:paraId="6841B6B8">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15.2.7对于谈判响应文件中不构成实质性偏差的不正规、不一致或不规则，谈判小组可以接受，但这种接受不能损坏或影响任何供应商的相对顺序。</w:t>
      </w:r>
    </w:p>
    <w:p w14:paraId="5D62C8A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14:paraId="13EF86B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.3.1遵纪守法，客观、公正、廉洁地履行职责；</w:t>
      </w:r>
    </w:p>
    <w:p w14:paraId="6D9D75B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14:paraId="75A4560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.3.3对评审过程和结果，以及供应商的商业秘密保密；</w:t>
      </w:r>
    </w:p>
    <w:p w14:paraId="30292B0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.3.4负责评审报告的起草；</w:t>
      </w:r>
    </w:p>
    <w:p w14:paraId="55306396">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.3.5配合相关部门的投诉处理工作；</w:t>
      </w:r>
    </w:p>
    <w:p w14:paraId="610532B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.3.6配合代理机构答复供应商对成交结果提出的质疑。</w:t>
      </w:r>
    </w:p>
    <w:p w14:paraId="30D3B2DF">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w:t>
      </w:r>
      <w:r>
        <w:rPr>
          <w:rFonts w:hint="eastAsia" w:cs="宋体" w:asciiTheme="minorEastAsia" w:hAnsiTheme="minorEastAsia" w:eastAsiaTheme="minorEastAsia"/>
          <w:b/>
          <w:color w:val="auto"/>
          <w:szCs w:val="21"/>
          <w:highlight w:val="none"/>
          <w:lang w:val="en-US" w:eastAsia="zh-CN"/>
        </w:rPr>
        <w:t>6</w:t>
      </w:r>
      <w:r>
        <w:rPr>
          <w:rFonts w:hint="eastAsia" w:cs="宋体" w:asciiTheme="minorEastAsia" w:hAnsiTheme="minorEastAsia" w:eastAsiaTheme="minorEastAsia"/>
          <w:b/>
          <w:color w:val="auto"/>
          <w:szCs w:val="21"/>
          <w:highlight w:val="none"/>
        </w:rPr>
        <w:t>.评审内容的保密</w:t>
      </w:r>
    </w:p>
    <w:p w14:paraId="7032083E">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cs="宋体" w:asciiTheme="minorEastAsia" w:hAnsiTheme="minorEastAsia" w:eastAsiaTheme="minorEastAsia"/>
          <w:color w:val="auto"/>
          <w:sz w:val="21"/>
          <w:szCs w:val="21"/>
          <w:highlight w:val="none"/>
          <w:lang w:val="en-US" w:eastAsia="zh-CN"/>
        </w:rPr>
        <w:t>6</w:t>
      </w:r>
      <w:r>
        <w:rPr>
          <w:rFonts w:hint="eastAsia" w:cs="宋体" w:asciiTheme="minorEastAsia" w:hAnsiTheme="minorEastAsia" w:eastAsiaTheme="minorEastAsia"/>
          <w:color w:val="auto"/>
          <w:sz w:val="21"/>
          <w:szCs w:val="21"/>
          <w:highlight w:val="none"/>
        </w:rPr>
        <w:t>.1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14:paraId="734C8497">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lang w:val="en-US" w:eastAsia="zh-CN"/>
        </w:rPr>
        <w:t>6</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14:paraId="77321335">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lang w:val="en-US" w:eastAsia="zh-CN"/>
        </w:rPr>
        <w:t>6</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14:paraId="0A3728C6">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val="en-US" w:eastAsia="zh-CN"/>
        </w:rPr>
        <w:t>6</w:t>
      </w:r>
      <w:r>
        <w:rPr>
          <w:rFonts w:hint="eastAsia" w:cs="宋体" w:asciiTheme="minorEastAsia" w:hAnsiTheme="minorEastAsia" w:eastAsiaTheme="minorEastAsia"/>
          <w:color w:val="auto"/>
          <w:szCs w:val="21"/>
          <w:highlight w:val="none"/>
        </w:rPr>
        <w:t>.4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14:paraId="1D67C6BF">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w:t>
      </w:r>
      <w:r>
        <w:rPr>
          <w:rFonts w:hint="eastAsia" w:cs="宋体" w:asciiTheme="minorEastAsia" w:hAnsiTheme="minorEastAsia" w:eastAsiaTheme="minorEastAsia"/>
          <w:b/>
          <w:color w:val="auto"/>
          <w:szCs w:val="21"/>
          <w:highlight w:val="none"/>
          <w:lang w:val="en-US" w:eastAsia="zh-CN"/>
        </w:rPr>
        <w:t>7</w:t>
      </w:r>
      <w:r>
        <w:rPr>
          <w:rFonts w:hint="eastAsia" w:cs="宋体" w:asciiTheme="minorEastAsia" w:hAnsiTheme="minorEastAsia" w:eastAsiaTheme="minorEastAsia"/>
          <w:b/>
          <w:color w:val="auto"/>
          <w:szCs w:val="21"/>
          <w:highlight w:val="none"/>
        </w:rPr>
        <w:t>.对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14:paraId="364B5B2C">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14:paraId="6F8A33D5">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cs="宋体" w:asciiTheme="minorEastAsia" w:hAnsiTheme="minorEastAsia" w:eastAsiaTheme="minorEastAsia"/>
          <w:color w:val="auto"/>
          <w:sz w:val="21"/>
          <w:szCs w:val="21"/>
          <w:highlight w:val="none"/>
          <w:lang w:val="en-US" w:eastAsia="zh-CN"/>
        </w:rPr>
        <w:t>7</w:t>
      </w:r>
      <w:r>
        <w:rPr>
          <w:rFonts w:hint="eastAsia" w:cs="宋体" w:asciiTheme="minorEastAsia" w:hAnsiTheme="minorEastAsia" w:eastAsiaTheme="minorEastAsia"/>
          <w:color w:val="auto"/>
          <w:sz w:val="21"/>
          <w:szCs w:val="21"/>
          <w:highlight w:val="none"/>
        </w:rPr>
        <w:t>.1资格审查：依据法律法规和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14:paraId="52103B3B">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w:t>
      </w:r>
      <w:r>
        <w:rPr>
          <w:rFonts w:hint="eastAsia" w:cs="宋体" w:asciiTheme="minorEastAsia" w:hAnsiTheme="minorEastAsia" w:eastAsiaTheme="minorEastAsia"/>
          <w:color w:val="auto"/>
          <w:sz w:val="21"/>
          <w:szCs w:val="21"/>
          <w:highlight w:val="none"/>
          <w:lang w:val="en-US" w:eastAsia="zh-CN"/>
        </w:rPr>
        <w:t>7</w:t>
      </w:r>
      <w:r>
        <w:rPr>
          <w:rFonts w:hint="eastAsia" w:cs="宋体" w:asciiTheme="minorEastAsia" w:hAnsiTheme="minorEastAsia" w:eastAsiaTheme="minorEastAsia"/>
          <w:color w:val="auto"/>
          <w:sz w:val="21"/>
          <w:szCs w:val="21"/>
          <w:highlight w:val="none"/>
        </w:rPr>
        <w:t>.2符合性审查：依据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14:paraId="72259B1E">
      <w:pPr>
        <w:pStyle w:val="3"/>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14:paraId="400C531C">
      <w:pPr>
        <w:pStyle w:val="3"/>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14:paraId="0BE6FCAA">
      <w:pPr>
        <w:pStyle w:val="3"/>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w:t>
      </w:r>
      <w:r>
        <w:rPr>
          <w:rFonts w:hint="eastAsia" w:hAnsi="宋体" w:cs="宋体"/>
          <w:b/>
          <w:color w:val="auto"/>
          <w:sz w:val="21"/>
          <w:szCs w:val="21"/>
          <w:highlight w:val="none"/>
          <w:lang w:val="en-US" w:eastAsia="zh-CN"/>
        </w:rPr>
        <w:t>7</w:t>
      </w:r>
      <w:r>
        <w:rPr>
          <w:rFonts w:hint="eastAsia" w:hAnsi="宋体" w:cs="宋体"/>
          <w:b/>
          <w:color w:val="auto"/>
          <w:sz w:val="21"/>
          <w:szCs w:val="21"/>
          <w:highlight w:val="none"/>
        </w:rPr>
        <w:t>.3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14:paraId="3B2E95B2">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.3.1</w:t>
      </w:r>
      <w:r>
        <w:rPr>
          <w:rFonts w:hint="eastAsia" w:ascii="宋体" w:hAnsi="宋体" w:cs="宋体"/>
          <w:color w:val="auto"/>
          <w:szCs w:val="21"/>
          <w:highlight w:val="none"/>
        </w:rPr>
        <w:t>供应商未通过报名的或者在名称上和法人地位上与报名情况发生实质性改变的；</w:t>
      </w:r>
    </w:p>
    <w:p w14:paraId="22EC8BA4">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ascii="宋体" w:hAnsi="宋体" w:cs="宋体"/>
          <w:color w:val="auto"/>
          <w:szCs w:val="21"/>
          <w:highlight w:val="none"/>
        </w:rPr>
        <w:t>电子光盘未提供或未单独密封的</w:t>
      </w:r>
      <w:r>
        <w:rPr>
          <w:rFonts w:hint="eastAsia" w:ascii="宋体" w:hAnsi="宋体" w:cs="宋体"/>
          <w:color w:val="auto"/>
          <w:szCs w:val="21"/>
          <w:highlight w:val="none"/>
        </w:rPr>
        <w:t>；</w:t>
      </w:r>
    </w:p>
    <w:p w14:paraId="0246C6C2">
      <w:pPr>
        <w:spacing w:line="360" w:lineRule="exact"/>
        <w:ind w:firstLine="439" w:firstLineChars="208"/>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.3.</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供应商被列入失信被执行人、</w:t>
      </w:r>
      <w:r>
        <w:rPr>
          <w:rFonts w:hint="eastAsia" w:ascii="宋体" w:hAnsi="宋体" w:cs="宋体"/>
          <w:b/>
          <w:color w:val="auto"/>
          <w:szCs w:val="21"/>
          <w:highlight w:val="none"/>
          <w:lang w:eastAsia="zh-CN"/>
        </w:rPr>
        <w:t>重大税收违法案件当事人名单(即重大税收违法失信主体</w:t>
      </w:r>
      <w:r>
        <w:rPr>
          <w:rFonts w:hint="eastAsia" w:ascii="宋体" w:hAnsi="宋体" w:cs="宋体"/>
          <w:b/>
          <w:color w:val="auto"/>
          <w:szCs w:val="21"/>
          <w:highlight w:val="none"/>
          <w:lang w:val="en-US" w:eastAsia="zh-CN"/>
        </w:rPr>
        <w:t>名单</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、政府采购严重违法失信行为记录名单的。（查询渠道“信用中国 ”网站（www.creditchina.gov.cn）、“中国政府采购网”网站（www.ccgp.gov.cn）网站的相关主体信用记录）</w:t>
      </w:r>
      <w:r>
        <w:rPr>
          <w:rFonts w:hint="eastAsia" w:ascii="宋体" w:hAnsi="宋体" w:cs="宋体"/>
          <w:b/>
          <w:color w:val="auto"/>
          <w:szCs w:val="21"/>
          <w:highlight w:val="none"/>
          <w:lang w:eastAsia="zh-CN"/>
        </w:rPr>
        <w:t>；</w:t>
      </w:r>
    </w:p>
    <w:p w14:paraId="22C7842F">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14:paraId="491F570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eastAsia="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eastAsia="宋体" w:cs="宋体"/>
          <w:color w:val="auto"/>
          <w:szCs w:val="21"/>
          <w:highlight w:val="none"/>
        </w:rPr>
        <w:t>★</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14:paraId="217F1ACF">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14:paraId="78493F0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14:paraId="69D4B528">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14:paraId="5C071B65">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项目报有两个或多个报价，且未书面确定以哪个报价为准的；</w:t>
      </w:r>
    </w:p>
    <w:p w14:paraId="359B235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w:t>
      </w:r>
      <w:r>
        <w:rPr>
          <w:rFonts w:hint="eastAsia" w:ascii="宋体" w:hAnsi="宋体" w:eastAsia="宋体" w:cs="宋体"/>
          <w:color w:val="auto"/>
          <w:szCs w:val="21"/>
          <w:highlight w:val="none"/>
          <w:lang w:val="en-US" w:eastAsia="zh-CN"/>
        </w:rPr>
        <w:t>价或最高单价限价的；</w:t>
      </w:r>
    </w:p>
    <w:p w14:paraId="50213346">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w:t>
      </w:r>
      <w:r>
        <w:rPr>
          <w:rFonts w:ascii="宋体" w:hAnsi="宋体" w:cs="宋体"/>
          <w:b/>
          <w:color w:val="auto"/>
          <w:szCs w:val="21"/>
          <w:highlight w:val="none"/>
        </w:rPr>
        <w:t>3</w:t>
      </w: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小组认为供应商的报价明显低于其他通过符合性审查供应商的报价，有可能影响</w:t>
      </w:r>
      <w:r>
        <w:rPr>
          <w:rFonts w:hint="eastAsia" w:ascii="宋体" w:hAnsi="宋体" w:cs="宋体"/>
          <w:b/>
          <w:color w:val="auto"/>
          <w:szCs w:val="21"/>
          <w:highlight w:val="none"/>
          <w:lang w:eastAsia="zh-CN"/>
        </w:rPr>
        <w:t>服务</w:t>
      </w:r>
      <w:r>
        <w:rPr>
          <w:rFonts w:hint="eastAsia" w:ascii="宋体" w:hAnsi="宋体" w:cs="宋体"/>
          <w:b/>
          <w:color w:val="auto"/>
          <w:szCs w:val="21"/>
          <w:highlight w:val="none"/>
        </w:rPr>
        <w:t>质量或者不能诚信履约的，应当要求其在评审现场合理的时间内提供书面说明，必要时提交相关证明材料；供应商不能证明其报价合理性的，</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小组应当将其作为无效响应处理。</w:t>
      </w:r>
    </w:p>
    <w:p w14:paraId="47AB0CF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14:paraId="5795CEF3">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.3.1</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14:paraId="5462C131">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.3.1</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14:paraId="1B8F2D7E">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w:t>
      </w:r>
      <w:r>
        <w:rPr>
          <w:rFonts w:hint="eastAsia" w:ascii="宋体" w:hAnsi="宋体" w:cs="宋体"/>
          <w:b/>
          <w:color w:val="auto"/>
          <w:szCs w:val="21"/>
          <w:highlight w:val="none"/>
          <w:lang w:val="en-US" w:eastAsia="zh-CN"/>
        </w:rPr>
        <w:t>7</w:t>
      </w:r>
      <w:r>
        <w:rPr>
          <w:rFonts w:hint="eastAsia" w:ascii="宋体" w:hAnsi="宋体" w:cs="宋体"/>
          <w:b/>
          <w:color w:val="auto"/>
          <w:szCs w:val="21"/>
          <w:highlight w:val="none"/>
        </w:rPr>
        <w:t>.4有下列情形之一的，视为供应商相互串通，无效响应：</w:t>
      </w:r>
    </w:p>
    <w:p w14:paraId="00590425">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14:paraId="1059EFC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14:paraId="162E2521">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14:paraId="5F0CC872">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14:paraId="3078D9A8">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7</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14:paraId="076567FC">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w:t>
      </w:r>
      <w:r>
        <w:rPr>
          <w:rFonts w:hint="eastAsia" w:cs="宋体" w:asciiTheme="minorEastAsia" w:hAnsiTheme="minorEastAsia" w:eastAsiaTheme="minorEastAsia"/>
          <w:b/>
          <w:color w:val="auto"/>
          <w:szCs w:val="21"/>
          <w:highlight w:val="none"/>
          <w:lang w:val="en-US" w:eastAsia="zh-CN"/>
        </w:rPr>
        <w:t>8</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14:paraId="6930B36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55F7C26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14:paraId="125C2D6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14:paraId="174FDFE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8</w:t>
      </w:r>
      <w:r>
        <w:rPr>
          <w:rFonts w:ascii="宋体" w:hAnsi="宋体" w:cs="宋体"/>
          <w:color w:val="auto"/>
          <w:szCs w:val="21"/>
          <w:highlight w:val="none"/>
        </w:rPr>
        <w:t>.4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14:paraId="1B874839">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8</w:t>
      </w:r>
      <w:r>
        <w:rPr>
          <w:rFonts w:ascii="宋体" w:hAnsi="宋体" w:cs="宋体"/>
          <w:color w:val="auto"/>
          <w:szCs w:val="21"/>
          <w:highlight w:val="none"/>
        </w:rPr>
        <w:t>.4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14:paraId="0DB1E3C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8</w:t>
      </w:r>
      <w:r>
        <w:rPr>
          <w:rFonts w:ascii="宋体" w:hAnsi="宋体" w:cs="宋体"/>
          <w:color w:val="auto"/>
          <w:szCs w:val="21"/>
          <w:highlight w:val="none"/>
        </w:rPr>
        <w:t>.4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14:paraId="7A8D721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.4.3单价金额小数点或者百分比有明显错位的，以报价一览表的总价为准，并修改单价；</w:t>
      </w:r>
    </w:p>
    <w:p w14:paraId="4D84CF2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.4.4总价金额与按单价汇总金额不一致的，以单价金额计算结果为准。</w:t>
      </w:r>
    </w:p>
    <w:p w14:paraId="76D3755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14:paraId="63802A4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14:paraId="50C83CA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lang w:val="en-US" w:eastAsia="zh-CN"/>
        </w:rPr>
        <w:t>8</w:t>
      </w:r>
      <w:r>
        <w:rPr>
          <w:rFonts w:ascii="宋体" w:hAnsi="宋体" w:cs="宋体"/>
          <w:color w:val="auto"/>
          <w:szCs w:val="21"/>
          <w:highlight w:val="none"/>
        </w:rPr>
        <w:t>.6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14:paraId="589569FF">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19</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14:paraId="6108804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19</w:t>
      </w:r>
      <w:r>
        <w:rPr>
          <w:rFonts w:ascii="宋体" w:hAnsi="宋体" w:cs="宋体"/>
          <w:color w:val="auto"/>
          <w:szCs w:val="21"/>
          <w:highlight w:val="none"/>
        </w:rPr>
        <w:t>.</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竞争性谈判采购方式</w:t>
      </w:r>
      <w:r>
        <w:rPr>
          <w:rFonts w:hint="eastAsia" w:ascii="宋体" w:hAnsi="宋体" w:cs="宋体"/>
          <w:color w:val="auto"/>
          <w:szCs w:val="21"/>
          <w:highlight w:val="none"/>
        </w:rPr>
        <w:t>适用情形的；</w:t>
      </w:r>
    </w:p>
    <w:p w14:paraId="6ED42D5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19</w:t>
      </w:r>
      <w:r>
        <w:rPr>
          <w:rFonts w:ascii="宋体" w:hAnsi="宋体" w:cs="宋体"/>
          <w:color w:val="auto"/>
          <w:szCs w:val="21"/>
          <w:highlight w:val="none"/>
        </w:rPr>
        <w:t>.2</w:t>
      </w:r>
      <w:r>
        <w:rPr>
          <w:rFonts w:hint="eastAsia" w:ascii="宋体" w:hAnsi="宋体" w:cs="宋体"/>
          <w:color w:val="auto"/>
          <w:szCs w:val="21"/>
          <w:highlight w:val="none"/>
        </w:rPr>
        <w:t>出现影响采购公正的违法、违规行为的；</w:t>
      </w:r>
    </w:p>
    <w:p w14:paraId="4F36CFB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19</w:t>
      </w:r>
      <w:r>
        <w:rPr>
          <w:rFonts w:ascii="宋体" w:hAnsi="宋体" w:cs="宋体"/>
          <w:color w:val="auto"/>
          <w:szCs w:val="21"/>
          <w:highlight w:val="none"/>
        </w:rPr>
        <w:t>.</w:t>
      </w:r>
      <w:r>
        <w:rPr>
          <w:rFonts w:hint="eastAsia" w:ascii="宋体" w:hAnsi="宋体" w:cs="宋体"/>
          <w:color w:val="auto"/>
          <w:szCs w:val="21"/>
          <w:highlight w:val="none"/>
        </w:rPr>
        <w:t>3供应商的最终报价均超过了采购预算，采购人不能支付的；</w:t>
      </w:r>
    </w:p>
    <w:p w14:paraId="4247253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19</w:t>
      </w:r>
      <w:r>
        <w:rPr>
          <w:rFonts w:ascii="宋体" w:hAnsi="宋体" w:cs="宋体"/>
          <w:color w:val="auto"/>
          <w:szCs w:val="21"/>
          <w:highlight w:val="none"/>
        </w:rPr>
        <w:t>.</w:t>
      </w:r>
      <w:r>
        <w:rPr>
          <w:rFonts w:hint="eastAsia" w:ascii="宋体" w:hAnsi="宋体" w:cs="宋体"/>
          <w:color w:val="auto"/>
          <w:szCs w:val="21"/>
          <w:highlight w:val="none"/>
        </w:rPr>
        <w:t>4因重大变故，采购任务取消的。</w:t>
      </w:r>
    </w:p>
    <w:p w14:paraId="51165A4A">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0</w:t>
      </w:r>
      <w:r>
        <w:rPr>
          <w:rFonts w:hint="eastAsia" w:ascii="宋体" w:hAnsi="宋体" w:cs="宋体"/>
          <w:b/>
          <w:color w:val="auto"/>
          <w:szCs w:val="21"/>
          <w:highlight w:val="none"/>
        </w:rPr>
        <w:t>.评审方法</w:t>
      </w:r>
    </w:p>
    <w:p w14:paraId="3E324AAF">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14:paraId="280E4B2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14:paraId="683F2AFE">
      <w:pPr>
        <w:pStyle w:val="3"/>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int="eastAsia" w:hAnsi="宋体" w:cs="宋体"/>
          <w:b/>
          <w:color w:val="auto"/>
          <w:sz w:val="21"/>
          <w:szCs w:val="21"/>
          <w:highlight w:val="none"/>
          <w:lang w:val="en-US" w:eastAsia="zh-CN"/>
        </w:rPr>
        <w:t>1</w:t>
      </w:r>
      <w:r>
        <w:rPr>
          <w:rFonts w:hint="eastAsia" w:hAnsi="宋体" w:cs="宋体"/>
          <w:b/>
          <w:color w:val="auto"/>
          <w:sz w:val="21"/>
          <w:szCs w:val="21"/>
          <w:highlight w:val="none"/>
        </w:rPr>
        <w:t>.</w:t>
      </w:r>
      <w:r>
        <w:rPr>
          <w:rStyle w:val="20"/>
          <w:rFonts w:hint="eastAsia" w:hAnsi="宋体" w:cs="宋体"/>
          <w:color w:val="auto"/>
          <w:sz w:val="21"/>
          <w:szCs w:val="21"/>
          <w:highlight w:val="none"/>
        </w:rPr>
        <w:t>成交结果</w:t>
      </w:r>
      <w:r>
        <w:rPr>
          <w:rFonts w:hint="eastAsia" w:hAnsi="宋体" w:cs="宋体"/>
          <w:b/>
          <w:color w:val="auto"/>
          <w:sz w:val="21"/>
          <w:szCs w:val="21"/>
          <w:highlight w:val="none"/>
        </w:rPr>
        <w:t>及公示</w:t>
      </w:r>
    </w:p>
    <w:p w14:paraId="37BA08A0">
      <w:pPr>
        <w:pStyle w:val="3"/>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1</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14:paraId="2928E9E5">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若有充分证据证明，成交供应商出现下列情况之一的，一经查实，将被取消成交资格：</w:t>
      </w:r>
    </w:p>
    <w:p w14:paraId="6871E9A5">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.1提供虚假材料谋取成交的；</w:t>
      </w:r>
    </w:p>
    <w:p w14:paraId="5CDF9D72">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2向采购人、代理机构行贿或者提供其他不正当利益的。</w:t>
      </w:r>
    </w:p>
    <w:p w14:paraId="24996A87">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14:paraId="46FF49F5">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14:paraId="7B304E7D">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.5与采购人或者其他供应商恶意串通的。</w:t>
      </w:r>
    </w:p>
    <w:p w14:paraId="0AAC34EA">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1</w:t>
      </w:r>
      <w:r>
        <w:rPr>
          <w:rFonts w:ascii="宋体" w:hAnsi="宋体"/>
          <w:color w:val="auto"/>
          <w:szCs w:val="21"/>
          <w:highlight w:val="none"/>
        </w:rPr>
        <w:t>.2</w:t>
      </w:r>
      <w:r>
        <w:rPr>
          <w:rFonts w:hint="eastAsia" w:ascii="宋体" w:hAnsi="宋体"/>
          <w:color w:val="auto"/>
          <w:szCs w:val="21"/>
          <w:highlight w:val="none"/>
        </w:rPr>
        <w:t>.6采取不正当手段诋毁、排挤其他供应商的。</w:t>
      </w:r>
    </w:p>
    <w:p w14:paraId="0C03C5DC">
      <w:pPr>
        <w:pStyle w:val="3"/>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w:t>
      </w:r>
      <w:r>
        <w:rPr>
          <w:rFonts w:hint="eastAsia" w:hAnsi="宋体"/>
          <w:color w:val="auto"/>
          <w:sz w:val="21"/>
          <w:szCs w:val="21"/>
          <w:highlight w:val="none"/>
          <w:lang w:val="en-US" w:eastAsia="zh-CN"/>
        </w:rPr>
        <w:t>1</w:t>
      </w:r>
      <w:r>
        <w:rPr>
          <w:rFonts w:hAnsi="宋体"/>
          <w:color w:val="auto"/>
          <w:sz w:val="21"/>
          <w:szCs w:val="21"/>
          <w:highlight w:val="none"/>
        </w:rPr>
        <w:t>.2</w:t>
      </w:r>
      <w:r>
        <w:rPr>
          <w:rFonts w:hint="eastAsia" w:hAnsi="宋体"/>
          <w:color w:val="auto"/>
          <w:sz w:val="21"/>
          <w:szCs w:val="21"/>
          <w:highlight w:val="none"/>
        </w:rPr>
        <w:t>.7不符合法律、法规的规定的。</w:t>
      </w:r>
    </w:p>
    <w:p w14:paraId="3DFFBA55">
      <w:pPr>
        <w:pStyle w:val="3"/>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1</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14:paraId="76579BE4">
      <w:pPr>
        <w:pStyle w:val="3"/>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14:paraId="6FB63274">
      <w:pPr>
        <w:pStyle w:val="3"/>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int="eastAsia" w:hAnsi="宋体" w:cs="宋体"/>
          <w:b/>
          <w:color w:val="auto"/>
          <w:sz w:val="21"/>
          <w:szCs w:val="21"/>
          <w:highlight w:val="none"/>
          <w:lang w:val="en-US" w:eastAsia="zh-CN"/>
        </w:rPr>
        <w:t>2</w:t>
      </w:r>
      <w:r>
        <w:rPr>
          <w:rFonts w:hint="eastAsia" w:hAnsi="宋体" w:cs="宋体"/>
          <w:b/>
          <w:color w:val="auto"/>
          <w:sz w:val="21"/>
          <w:szCs w:val="21"/>
          <w:highlight w:val="none"/>
        </w:rPr>
        <w:t>.成交通知书</w:t>
      </w:r>
    </w:p>
    <w:p w14:paraId="63E842DB">
      <w:pPr>
        <w:pStyle w:val="3"/>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2</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14:paraId="046D2B5A">
      <w:pPr>
        <w:pStyle w:val="3"/>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14:paraId="45F7805C">
      <w:pPr>
        <w:pStyle w:val="3"/>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14:paraId="5B4F5AF9">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rPr>
        <w:t>.代理机构服务费</w:t>
      </w:r>
    </w:p>
    <w:p w14:paraId="781C35F8">
      <w:pPr>
        <w:pStyle w:val="3"/>
        <w:overflowPunct w:val="0"/>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3</w:t>
      </w:r>
      <w:r>
        <w:rPr>
          <w:rFonts w:hint="eastAsia" w:hAnsi="宋体" w:cs="宋体"/>
          <w:color w:val="auto"/>
          <w:sz w:val="21"/>
          <w:szCs w:val="21"/>
          <w:highlight w:val="none"/>
        </w:rPr>
        <w:t>.1将成交服务费付至采购代理机构的账户。</w:t>
      </w:r>
    </w:p>
    <w:p w14:paraId="5F3FCEE9">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14:paraId="3BC40DA4">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14:paraId="55A103C6">
      <w:pPr>
        <w:spacing w:line="360" w:lineRule="exact"/>
        <w:ind w:firstLine="420" w:firstLineChars="200"/>
        <w:rPr>
          <w:color w:val="auto"/>
          <w:highlight w:val="none"/>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14:paraId="32F81757">
      <w:pPr>
        <w:pStyle w:val="3"/>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3</w:t>
      </w:r>
      <w:r>
        <w:rPr>
          <w:rFonts w:hint="eastAsia" w:hAnsi="宋体" w:cs="宋体"/>
          <w:color w:val="auto"/>
          <w:sz w:val="21"/>
          <w:szCs w:val="21"/>
          <w:highlight w:val="none"/>
        </w:rPr>
        <w:t>.2代理服务收费标准</w:t>
      </w:r>
    </w:p>
    <w:p w14:paraId="264F51CC">
      <w:pPr>
        <w:pStyle w:val="3"/>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由成交供应商支付，其中10万元（不含）以下项目，固定收取1000元；10万元（含）至20万元（不含）项目，固定收取1500元；20万元（含）至30万元（不含）项目，固定收取2000元。</w:t>
      </w:r>
    </w:p>
    <w:p w14:paraId="07CC7EEF">
      <w:pPr>
        <w:pStyle w:val="3"/>
        <w:overflowPunct w:val="0"/>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3</w:t>
      </w:r>
      <w:r>
        <w:rPr>
          <w:rFonts w:hint="eastAsia" w:hAnsi="宋体" w:cs="宋体"/>
          <w:color w:val="auto"/>
          <w:sz w:val="21"/>
          <w:szCs w:val="21"/>
          <w:highlight w:val="none"/>
        </w:rPr>
        <w:t>.3专家评审费由常州市公安局支付。</w:t>
      </w:r>
    </w:p>
    <w:p w14:paraId="40B4B4F3">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.合同的签订</w:t>
      </w:r>
    </w:p>
    <w:p w14:paraId="7EE9BE2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文件确定的事项与采购人签订采购合同，且不得迟于成交通知书发出之日起三十日内，由此给采购人造成损失的，成交供应商还应承担赔偿责任。</w:t>
      </w:r>
    </w:p>
    <w:p w14:paraId="426BBC9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14:paraId="3C866DC4">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14:paraId="144CE26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14:paraId="19FC2248">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14:paraId="54E0D8F3">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25.</w:t>
      </w:r>
      <w:r>
        <w:rPr>
          <w:rFonts w:hint="eastAsia" w:ascii="宋体" w:hAnsi="宋体" w:cs="宋体"/>
          <w:b/>
          <w:color w:val="auto"/>
          <w:szCs w:val="21"/>
          <w:highlight w:val="none"/>
        </w:rPr>
        <w:t>保密</w:t>
      </w:r>
    </w:p>
    <w:p w14:paraId="309C49CA">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w:t>
      </w:r>
      <w:r>
        <w:rPr>
          <w:rFonts w:hint="eastAsia" w:ascii="宋体" w:hAnsi="宋体" w:cs="宋体"/>
          <w:color w:val="auto"/>
          <w:szCs w:val="21"/>
          <w:highlight w:val="none"/>
          <w:lang w:val="en-US" w:eastAsia="zh-CN"/>
        </w:rPr>
        <w:t>竞争性谈判</w:t>
      </w:r>
      <w:r>
        <w:rPr>
          <w:rFonts w:hint="eastAsia" w:ascii="宋体" w:hAnsi="宋体" w:cs="宋体"/>
          <w:color w:val="auto"/>
          <w:szCs w:val="21"/>
          <w:highlight w:val="none"/>
          <w:lang w:eastAsia="zh-CN"/>
        </w:rPr>
        <w:t>文件和谈判响应文件中的商业秘密保密，违者应对由此造成的后果承担法律责任。</w:t>
      </w:r>
    </w:p>
    <w:p w14:paraId="19AEF2FA">
      <w:pPr>
        <w:spacing w:line="360" w:lineRule="exact"/>
        <w:ind w:firstLine="420" w:firstLineChars="200"/>
        <w:rPr>
          <w:rFonts w:hint="eastAsia" w:ascii="宋体" w:hAnsi="宋体" w:cs="宋体"/>
          <w:color w:val="auto"/>
          <w:szCs w:val="21"/>
          <w:highlight w:val="none"/>
          <w:lang w:eastAsia="zh-CN"/>
        </w:rPr>
      </w:pPr>
    </w:p>
    <w:p w14:paraId="3217FC8F">
      <w:pPr>
        <w:pStyle w:val="5"/>
        <w:rPr>
          <w:rFonts w:hint="eastAsia"/>
          <w:color w:val="auto"/>
          <w:highlight w:val="none"/>
          <w:lang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AC15EB6">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14:paraId="3AB26A65">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证明供应商符合资格要求的证明材料包括但不限于以下材料（谈判响应文件中提供并</w:t>
      </w:r>
      <w:r>
        <w:rPr>
          <w:rFonts w:ascii="宋体" w:hAnsi="宋体"/>
          <w:b/>
          <w:bCs/>
          <w:color w:val="auto"/>
          <w:szCs w:val="21"/>
          <w:highlight w:val="none"/>
        </w:rPr>
        <w:t>加盖</w:t>
      </w:r>
      <w:r>
        <w:rPr>
          <w:rFonts w:hint="eastAsia" w:ascii="宋体" w:hAnsi="宋体"/>
          <w:b/>
          <w:bCs/>
          <w:color w:val="auto"/>
          <w:szCs w:val="21"/>
          <w:highlight w:val="none"/>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14:paraId="4BBE34AB">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p>
    <w:p w14:paraId="668423C7">
      <w:pPr>
        <w:spacing w:line="360" w:lineRule="exact"/>
        <w:ind w:firstLine="422" w:firstLineChars="201"/>
        <w:rPr>
          <w:rFonts w:ascii="宋体" w:hAnsi="宋体"/>
          <w:color w:val="auto"/>
          <w:szCs w:val="21"/>
          <w:highlight w:val="none"/>
        </w:rPr>
      </w:pPr>
      <w:r>
        <w:rPr>
          <w:rFonts w:hint="eastAsia" w:ascii="宋体" w:hAnsi="宋体" w:eastAsia="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14:paraId="4C73AB18">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14:paraId="7B576ABE">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、代理人身份证复印件</w:t>
      </w:r>
      <w:r>
        <w:rPr>
          <w:rFonts w:hint="eastAsia" w:ascii="宋体" w:hAnsi="宋体"/>
          <w:color w:val="auto"/>
          <w:szCs w:val="21"/>
          <w:highlight w:val="none"/>
        </w:rPr>
        <w:t>（双面）</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r>
        <w:rPr>
          <w:rFonts w:hint="eastAsia" w:ascii="宋体" w:hAnsi="宋体" w:cs="宋体"/>
          <w:color w:val="auto"/>
          <w:szCs w:val="21"/>
          <w:highlight w:val="none"/>
        </w:rPr>
        <w:t>（如果有授权委托情况的，必须提供）</w:t>
      </w:r>
    </w:p>
    <w:p w14:paraId="42D666F1">
      <w:pPr>
        <w:spacing w:line="360" w:lineRule="exact"/>
        <w:ind w:firstLine="422" w:firstLineChars="201"/>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lang w:val="en-US" w:eastAsia="zh-CN"/>
        </w:rPr>
        <w:t>.中小企业声明函（复印件）</w:t>
      </w:r>
    </w:p>
    <w:p w14:paraId="38B4128D">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14:paraId="03A95E12">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14:paraId="508CA631">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14:paraId="1A41CFA6">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14:paraId="525436B1">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14:paraId="32B18E18">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.服务承诺</w:t>
      </w:r>
    </w:p>
    <w:p w14:paraId="1371BE71">
      <w:pPr>
        <w:spacing w:line="360" w:lineRule="exact"/>
        <w:ind w:firstLine="422" w:firstLineChars="201"/>
        <w:rPr>
          <w:rFonts w:ascii="宋体" w:hAnsi="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.偏离表</w:t>
      </w:r>
    </w:p>
    <w:p w14:paraId="78B847CB">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.其他评审相关资料</w:t>
      </w:r>
    </w:p>
    <w:p w14:paraId="1B1B86BD">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14:paraId="50E74446">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14:paraId="2CB5F228">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14:paraId="3A037143">
      <w:pPr>
        <w:jc w:val="center"/>
        <w:rPr>
          <w:rFonts w:ascii="宋体" w:hAnsi="宋体" w:cs="宋体"/>
          <w:b/>
          <w:color w:val="auto"/>
          <w:sz w:val="30"/>
          <w:szCs w:val="30"/>
          <w:highlight w:val="none"/>
        </w:rPr>
      </w:pPr>
    </w:p>
    <w:p w14:paraId="6B2A68B5">
      <w:pPr>
        <w:spacing w:line="360" w:lineRule="exact"/>
        <w:ind w:firstLine="422" w:firstLineChars="201"/>
        <w:rPr>
          <w:rFonts w:ascii="宋体" w:hAnsi="宋体" w:cs="宋体"/>
          <w:color w:val="auto"/>
          <w:szCs w:val="21"/>
          <w:highlight w:val="none"/>
        </w:rPr>
      </w:pPr>
    </w:p>
    <w:p w14:paraId="15EDEBC1">
      <w:pPr>
        <w:spacing w:line="360" w:lineRule="exact"/>
        <w:ind w:firstLine="424" w:firstLineChars="201"/>
        <w:rPr>
          <w:rFonts w:ascii="宋体" w:hAnsi="宋体" w:cs="宋体"/>
          <w:b/>
          <w:bCs/>
          <w:color w:val="auto"/>
          <w:szCs w:val="21"/>
          <w:highlight w:val="none"/>
        </w:rPr>
      </w:pPr>
    </w:p>
    <w:p w14:paraId="653558FA">
      <w:pPr>
        <w:jc w:val="center"/>
        <w:rPr>
          <w:rFonts w:ascii="宋体" w:hAnsi="宋体" w:cs="宋体"/>
          <w:b/>
          <w:color w:val="auto"/>
          <w:sz w:val="30"/>
          <w:szCs w:val="30"/>
          <w:highlight w:val="none"/>
        </w:rPr>
      </w:pPr>
    </w:p>
    <w:p w14:paraId="26299C38">
      <w:pPr>
        <w:jc w:val="center"/>
        <w:rPr>
          <w:rFonts w:ascii="宋体" w:hAnsi="宋体" w:cs="宋体"/>
          <w:b/>
          <w:color w:val="auto"/>
          <w:sz w:val="30"/>
          <w:szCs w:val="30"/>
          <w:highlight w:val="none"/>
        </w:rPr>
      </w:pPr>
    </w:p>
    <w:p w14:paraId="23E24225">
      <w:pPr>
        <w:jc w:val="center"/>
        <w:rPr>
          <w:rFonts w:ascii="宋体" w:hAnsi="宋体" w:cs="宋体"/>
          <w:b/>
          <w:color w:val="auto"/>
          <w:sz w:val="30"/>
          <w:szCs w:val="30"/>
          <w:highlight w:val="none"/>
        </w:rPr>
      </w:pPr>
    </w:p>
    <w:p w14:paraId="2BF28328">
      <w:pPr>
        <w:jc w:val="center"/>
        <w:rPr>
          <w:rFonts w:ascii="宋体" w:hAnsi="宋体" w:cs="宋体"/>
          <w:b/>
          <w:color w:val="auto"/>
          <w:sz w:val="30"/>
          <w:szCs w:val="30"/>
          <w:highlight w:val="none"/>
        </w:rPr>
      </w:pPr>
    </w:p>
    <w:p w14:paraId="03AE3809">
      <w:pPr>
        <w:jc w:val="center"/>
        <w:rPr>
          <w:rFonts w:ascii="宋体" w:hAnsi="宋体" w:cs="宋体"/>
          <w:b/>
          <w:color w:val="auto"/>
          <w:sz w:val="30"/>
          <w:szCs w:val="30"/>
          <w:highlight w:val="none"/>
        </w:rPr>
      </w:pPr>
    </w:p>
    <w:p w14:paraId="63FA6BCB">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14:paraId="52592606">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outlineLvl w:val="1"/>
        <w:rPr>
          <w:rFonts w:hint="default" w:ascii="宋体" w:hAnsi="宋体" w:eastAsia="宋体" w:cs="宋体"/>
          <w:b/>
          <w:bCs/>
          <w:color w:val="auto"/>
          <w:sz w:val="21"/>
          <w:szCs w:val="21"/>
          <w:highlight w:val="none"/>
          <w:lang w:val="en-US" w:eastAsia="zh-CN"/>
        </w:rPr>
      </w:pPr>
      <w:bookmarkStart w:id="42" w:name="_Toc462646338"/>
      <w:r>
        <w:rPr>
          <w:rFonts w:hint="eastAsia" w:ascii="宋体" w:hAnsi="宋体" w:eastAsia="宋体" w:cs="宋体"/>
          <w:b/>
          <w:bCs/>
          <w:color w:val="auto"/>
          <w:sz w:val="21"/>
          <w:szCs w:val="21"/>
          <w:highlight w:val="none"/>
        </w:rPr>
        <w:t>一、</w:t>
      </w:r>
      <w:bookmarkEnd w:id="42"/>
      <w:bookmarkStart w:id="43" w:name="_Toc62977178"/>
      <w:bookmarkStart w:id="44" w:name="_Toc115153295"/>
      <w:bookmarkStart w:id="45" w:name="_Toc62976865"/>
      <w:bookmarkStart w:id="46" w:name="_Toc62977062"/>
      <w:bookmarkStart w:id="47" w:name="_Toc62977138"/>
      <w:bookmarkStart w:id="48" w:name="_Hlk145336062"/>
      <w:r>
        <w:rPr>
          <w:rFonts w:hint="eastAsia" w:ascii="宋体" w:hAnsi="宋体" w:cs="宋体"/>
          <w:b/>
          <w:bCs/>
          <w:color w:val="auto"/>
          <w:sz w:val="21"/>
          <w:szCs w:val="21"/>
          <w:highlight w:val="none"/>
          <w:lang w:val="en-US" w:eastAsia="zh-CN"/>
        </w:rPr>
        <w:t>采购内容</w:t>
      </w:r>
    </w:p>
    <w:bookmarkEnd w:id="43"/>
    <w:bookmarkEnd w:id="44"/>
    <w:bookmarkEnd w:id="45"/>
    <w:bookmarkEnd w:id="46"/>
    <w:bookmarkEnd w:id="47"/>
    <w:p w14:paraId="3EB7F7F3">
      <w:pPr>
        <w:spacing w:line="360" w:lineRule="exact"/>
        <w:ind w:firstLine="428" w:firstLineChars="200"/>
        <w:rPr>
          <w:rFonts w:hint="eastAsia" w:asciiTheme="minorEastAsia" w:hAnsiTheme="minorEastAsia" w:eastAsiaTheme="minorEastAsia" w:cstheme="minorEastAsia"/>
          <w:color w:val="auto"/>
          <w:spacing w:val="2"/>
          <w:szCs w:val="21"/>
          <w:highlight w:val="none"/>
          <w:lang w:val="en-US" w:eastAsia="zh-CN"/>
        </w:rPr>
      </w:pPr>
      <w:r>
        <w:rPr>
          <w:rFonts w:hint="eastAsia" w:asciiTheme="minorEastAsia" w:hAnsiTheme="minorEastAsia" w:eastAsiaTheme="minorEastAsia" w:cstheme="minorEastAsia"/>
          <w:color w:val="auto"/>
          <w:spacing w:val="2"/>
          <w:szCs w:val="21"/>
          <w:highlight w:val="none"/>
        </w:rPr>
        <w:t>本项目为</w:t>
      </w:r>
      <w:r>
        <w:rPr>
          <w:rFonts w:hint="eastAsia" w:asciiTheme="minorEastAsia" w:hAnsiTheme="minorEastAsia" w:eastAsiaTheme="minorEastAsia" w:cstheme="minorEastAsia"/>
          <w:color w:val="auto"/>
          <w:spacing w:val="2"/>
          <w:szCs w:val="21"/>
          <w:highlight w:val="none"/>
          <w:lang w:eastAsia="zh-CN"/>
        </w:rPr>
        <w:t>警训办关于宿舍楼顶太阳能设备维修及保养项目</w:t>
      </w:r>
      <w:r>
        <w:rPr>
          <w:rFonts w:hint="eastAsia" w:asciiTheme="minorEastAsia" w:hAnsiTheme="minorEastAsia" w:eastAsiaTheme="minorEastAsia" w:cstheme="minorEastAsia"/>
          <w:color w:val="auto"/>
          <w:spacing w:val="2"/>
          <w:szCs w:val="21"/>
          <w:highlight w:val="none"/>
        </w:rPr>
        <w:t>，</w:t>
      </w:r>
      <w:r>
        <w:rPr>
          <w:rFonts w:hint="eastAsia" w:asciiTheme="minorEastAsia" w:hAnsiTheme="minorEastAsia" w:eastAsiaTheme="minorEastAsia" w:cstheme="minorEastAsia"/>
          <w:color w:val="auto"/>
          <w:spacing w:val="2"/>
          <w:szCs w:val="21"/>
          <w:highlight w:val="none"/>
          <w:lang w:val="en-US" w:eastAsia="zh-CN"/>
        </w:rPr>
        <w:t>具体详见采购文件。</w:t>
      </w:r>
    </w:p>
    <w:p w14:paraId="37DBB717">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二、维保内容</w:t>
      </w:r>
    </w:p>
    <w:bookmarkEnd w:id="48"/>
    <w:tbl>
      <w:tblPr>
        <w:tblStyle w:val="15"/>
        <w:tblW w:w="5862" w:type="pct"/>
        <w:tblInd w:w="-77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92"/>
        <w:gridCol w:w="925"/>
        <w:gridCol w:w="882"/>
        <w:gridCol w:w="618"/>
        <w:gridCol w:w="638"/>
        <w:gridCol w:w="900"/>
        <w:gridCol w:w="1425"/>
        <w:gridCol w:w="806"/>
        <w:gridCol w:w="2606"/>
      </w:tblGrid>
      <w:tr w14:paraId="36971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5A6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项目名称</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DB8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标的名称</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891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型号规格</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189B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单位</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FB80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数量</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3C4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最高单价限价（元）</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1E72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本项目采购标的</w:t>
            </w:r>
          </w:p>
          <w:p w14:paraId="7576DCF9">
            <w:pPr>
              <w:keepNext w:val="0"/>
              <w:keepLines w:val="0"/>
              <w:widowControl/>
              <w:suppressLineNumbers w:val="0"/>
              <w:jc w:val="center"/>
              <w:textAlignment w:val="center"/>
              <w:rPr>
                <w:rFonts w:hint="default"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对应的中小企业划分标准所属行业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6BBD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金额（元）</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2FC2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备注说明</w:t>
            </w:r>
          </w:p>
        </w:tc>
      </w:tr>
      <w:tr w14:paraId="3BBF8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D0FF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维修零部件费用（不含人工和服务费、含税金）</w:t>
            </w: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023F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电磁循环阀</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AD8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电磁循环阀</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4B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624A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4C6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650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E6C75">
            <w:pPr>
              <w:keepNext w:val="0"/>
              <w:keepLines w:val="0"/>
              <w:widowControl/>
              <w:suppressLineNumbers w:val="0"/>
              <w:jc w:val="center"/>
              <w:textAlignment w:val="center"/>
              <w:rPr>
                <w:rFonts w:hint="default"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工业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A8A1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3250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27B59">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定制型电磁循环阀 120°蒸汽耐高温完全防水2W-500-50。</w:t>
            </w:r>
          </w:p>
        </w:tc>
      </w:tr>
      <w:tr w14:paraId="18EC6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65DADB">
            <w:pPr>
              <w:jc w:val="center"/>
              <w:rPr>
                <w:rFonts w:hint="eastAsia" w:asciiTheme="majorEastAsia" w:hAnsiTheme="majorEastAsia" w:eastAsiaTheme="majorEastAsia" w:cstheme="majorEastAsia"/>
                <w:i w:val="0"/>
                <w:iCs w:val="0"/>
                <w:color w:val="auto"/>
                <w:sz w:val="21"/>
                <w:szCs w:val="21"/>
                <w:highlight w:val="none"/>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F336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高压软接</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EE41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高压活接</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70C9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46B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534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400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8DFE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工业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1E2D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2000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9049F">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定制橡胶加厚高压活接 DN50内丝口连接可曲挠橡胶软接。</w:t>
            </w:r>
          </w:p>
        </w:tc>
      </w:tr>
      <w:tr w14:paraId="51D98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C8F05">
            <w:pPr>
              <w:jc w:val="center"/>
              <w:rPr>
                <w:rFonts w:hint="eastAsia" w:asciiTheme="majorEastAsia" w:hAnsiTheme="majorEastAsia" w:eastAsiaTheme="majorEastAsia" w:cstheme="majorEastAsia"/>
                <w:i w:val="0"/>
                <w:iCs w:val="0"/>
                <w:color w:val="auto"/>
                <w:sz w:val="21"/>
                <w:szCs w:val="21"/>
                <w:highlight w:val="none"/>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CE6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阀门</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148B4">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闸阀阀门</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7579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7E93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9AF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250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873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工业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DADA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1250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1E4D">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暗杆软密封闸阀；【国标重体DN50】。</w:t>
            </w:r>
          </w:p>
        </w:tc>
      </w:tr>
      <w:tr w14:paraId="2034E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41F6CC">
            <w:pPr>
              <w:jc w:val="center"/>
              <w:rPr>
                <w:rFonts w:hint="eastAsia" w:asciiTheme="majorEastAsia" w:hAnsiTheme="majorEastAsia" w:eastAsiaTheme="majorEastAsia" w:cstheme="majorEastAsia"/>
                <w:i w:val="0"/>
                <w:iCs w:val="0"/>
                <w:color w:val="auto"/>
                <w:sz w:val="21"/>
                <w:szCs w:val="21"/>
                <w:highlight w:val="none"/>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73C9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气压罐</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CC12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气压罐</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88D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28B0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78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2C84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工业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553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1000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5D916">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配电房气压罐更换。</w:t>
            </w:r>
          </w:p>
        </w:tc>
      </w:tr>
      <w:tr w14:paraId="0C278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711D84">
            <w:pPr>
              <w:jc w:val="center"/>
              <w:rPr>
                <w:rFonts w:hint="eastAsia" w:asciiTheme="majorEastAsia" w:hAnsiTheme="majorEastAsia" w:eastAsiaTheme="majorEastAsia" w:cstheme="majorEastAsia"/>
                <w:i w:val="0"/>
                <w:iCs w:val="0"/>
                <w:color w:val="auto"/>
                <w:sz w:val="21"/>
                <w:szCs w:val="21"/>
                <w:highlight w:val="none"/>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52A8D">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桑乐联箱</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235B2">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桑乐联箱</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458B8">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6DA9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25</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6896C">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1200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A81C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工业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308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30000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5FA3F">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定制198不锈钢联箱，与原有联箱进行替换。</w:t>
            </w:r>
          </w:p>
        </w:tc>
      </w:tr>
      <w:tr w14:paraId="44AF7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5FA59">
            <w:pPr>
              <w:jc w:val="center"/>
              <w:rPr>
                <w:rFonts w:hint="eastAsia" w:asciiTheme="majorEastAsia" w:hAnsiTheme="majorEastAsia" w:eastAsiaTheme="majorEastAsia" w:cstheme="majorEastAsia"/>
                <w:i w:val="0"/>
                <w:iCs w:val="0"/>
                <w:color w:val="auto"/>
                <w:sz w:val="21"/>
                <w:szCs w:val="21"/>
                <w:highlight w:val="none"/>
                <w:u w:val="none"/>
              </w:rPr>
            </w:pPr>
          </w:p>
        </w:tc>
        <w:tc>
          <w:tcPr>
            <w:tcW w:w="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979F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抢修软接管</w:t>
            </w:r>
          </w:p>
        </w:tc>
        <w:tc>
          <w:tcPr>
            <w:tcW w:w="4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AB9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抢修接管</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08A9E">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套</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FA13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4</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9EE8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D79E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工业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D227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2000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DDB31">
            <w:pPr>
              <w:keepNext w:val="0"/>
              <w:keepLines w:val="0"/>
              <w:widowControl/>
              <w:suppressLineNumbers w:val="0"/>
              <w:jc w:val="left"/>
              <w:textAlignment w:val="center"/>
              <w:rPr>
                <w:rFonts w:hint="default" w:asciiTheme="majorEastAsia" w:hAnsiTheme="majorEastAsia" w:eastAsiaTheme="majorEastAsia" w:cstheme="majorEastAsia"/>
                <w:i w:val="0"/>
                <w:iCs w:val="0"/>
                <w:color w:val="auto"/>
                <w:sz w:val="21"/>
                <w:szCs w:val="21"/>
                <w:highlight w:val="none"/>
                <w:u w:val="none"/>
                <w:lang w:val="en-US"/>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可曲绕橡胶软接头，DN40内丝口连接，密封性能≥1.6MPa。长度根据现场要求。</w:t>
            </w:r>
          </w:p>
        </w:tc>
      </w:tr>
      <w:tr w14:paraId="0D0E7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F3647">
            <w:pPr>
              <w:jc w:val="center"/>
              <w:rPr>
                <w:rFonts w:hint="eastAsia" w:asciiTheme="majorEastAsia" w:hAnsiTheme="majorEastAsia" w:eastAsiaTheme="majorEastAsia" w:cstheme="majorEastAsia"/>
                <w:i w:val="0"/>
                <w:iCs w:val="0"/>
                <w:color w:val="auto"/>
                <w:sz w:val="21"/>
                <w:szCs w:val="21"/>
                <w:highlight w:val="none"/>
                <w:u w:val="none"/>
              </w:rPr>
            </w:pPr>
          </w:p>
        </w:tc>
        <w:tc>
          <w:tcPr>
            <w:tcW w:w="9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CA1E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管道零星维修</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81B7B">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项</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B850">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1804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5000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0AC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其他未列明行业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DFD7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5000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020C0">
            <w:pPr>
              <w:keepNext w:val="0"/>
              <w:keepLines w:val="0"/>
              <w:widowControl/>
              <w:suppressLineNumbers w:val="0"/>
              <w:jc w:val="left"/>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该费用为维修清单外维修零件费用，按实结算。</w:t>
            </w:r>
          </w:p>
        </w:tc>
      </w:tr>
      <w:tr w14:paraId="674A8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2" w:hRule="atLeast"/>
        </w:trPr>
        <w:tc>
          <w:tcPr>
            <w:tcW w:w="5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10B3A">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人工服务费（含维修期内服务费、维保期内服务费）</w:t>
            </w:r>
          </w:p>
        </w:tc>
        <w:tc>
          <w:tcPr>
            <w:tcW w:w="90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A95DE">
            <w:pPr>
              <w:keepNext w:val="0"/>
              <w:keepLines w:val="0"/>
              <w:widowControl/>
              <w:suppressLineNumbers w:val="0"/>
              <w:ind w:firstLineChars="10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项目维保</w:t>
            </w:r>
          </w:p>
        </w:tc>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259F">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年</w:t>
            </w:r>
          </w:p>
        </w:tc>
        <w:tc>
          <w:tcPr>
            <w:tcW w:w="3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1D076">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1</w:t>
            </w:r>
          </w:p>
        </w:tc>
        <w:tc>
          <w:tcPr>
            <w:tcW w:w="4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0231">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20000</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FFA3">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其他未列明行业</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ED75">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20000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AF066">
            <w:pPr>
              <w:keepNext w:val="0"/>
              <w:keepLines w:val="0"/>
              <w:widowControl/>
              <w:suppressLineNumbers w:val="0"/>
              <w:jc w:val="both"/>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1、维保时间：</w:t>
            </w:r>
            <w:r>
              <w:rPr>
                <w:rFonts w:hint="eastAsia" w:cs="宋体" w:asciiTheme="minorEastAsia" w:hAnsiTheme="minorEastAsia" w:eastAsiaTheme="minorEastAsia"/>
                <w:color w:val="auto"/>
                <w:szCs w:val="21"/>
                <w:highlight w:val="none"/>
                <w:lang w:val="en-US" w:eastAsia="zh-CN"/>
              </w:rPr>
              <w:t>自</w:t>
            </w:r>
            <w:r>
              <w:rPr>
                <w:rFonts w:hint="eastAsia" w:cs="宋体" w:asciiTheme="minorEastAsia" w:hAnsiTheme="minorEastAsia" w:eastAsiaTheme="minorEastAsia"/>
                <w:color w:val="auto"/>
                <w:szCs w:val="21"/>
                <w:highlight w:val="none"/>
                <w:lang w:eastAsia="zh-CN"/>
              </w:rPr>
              <w:t>合同签订之日起</w:t>
            </w:r>
            <w:r>
              <w:rPr>
                <w:rFonts w:hint="eastAsia" w:cs="宋体" w:asciiTheme="minorEastAsia" w:hAnsiTheme="minorEastAsia" w:eastAsiaTheme="minorEastAsia"/>
                <w:color w:val="auto"/>
                <w:szCs w:val="21"/>
                <w:highlight w:val="none"/>
              </w:rPr>
              <w:t>开始计算，维保时间为一年</w:t>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w:t>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2、实际情况及管理要求，派专业人员对采购人系统定期检查、测试、保养、维修（日常维修维护及保养服务，设备及系统的维修维护保障与技术支持服务）。确保设备系统运行良好、完整好用。</w:t>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3、对维保项目每月不低于2次进行巡检与维护，年不低于24次。维保期内对警校宿舍整个太阳能系统出具整体系统运行情况报告。</w:t>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4、接到采购人服务要求，必须24小时内派专业技术人员现场处理。技术人员对故障进行诊断后，按紧急程度不同划分，最迟12小时提交解决方案。特殊设备现场无法维修或者无法代替使用的，或者需要返厂维修的，最迟10个工作日内处理恢复至正常使用。系统或设备修复正常后必须由采购人签字确认。</w:t>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5、加强现场管理，确保安全生产，在维保过程中发生人身、设备及第三事故，采购人不承担任何责任。成交供应商不得对相关信息进行查询下载。如确有需要，必须由采购人相关人员现场提供。</w:t>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br w:type="textWrapping"/>
            </w: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6、工作人员进入现场维保，必须遵照采购人的相关规章制度，服从采购人安排与管理。</w:t>
            </w:r>
          </w:p>
        </w:tc>
      </w:tr>
      <w:tr w14:paraId="5C97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7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75CC05">
            <w:pPr>
              <w:jc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总价</w:t>
            </w:r>
          </w:p>
        </w:tc>
        <w:tc>
          <w:tcPr>
            <w:tcW w:w="7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F2EC9">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kern w:val="0"/>
                <w:sz w:val="21"/>
                <w:szCs w:val="21"/>
                <w:highlight w:val="none"/>
                <w:u w:val="none"/>
                <w:lang w:val="en-US" w:eastAsia="zh-CN" w:bidi="ar"/>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E9157">
            <w:pPr>
              <w:keepNext w:val="0"/>
              <w:keepLines w:val="0"/>
              <w:widowControl/>
              <w:suppressLineNumbers w:val="0"/>
              <w:jc w:val="center"/>
              <w:textAlignment w:val="center"/>
              <w:rPr>
                <w:rFonts w:hint="eastAsia" w:asciiTheme="majorEastAsia" w:hAnsiTheme="majorEastAsia" w:eastAsiaTheme="majorEastAsia" w:cstheme="majorEastAsia"/>
                <w:i w:val="0"/>
                <w:iCs w:val="0"/>
                <w:color w:val="auto"/>
                <w:sz w:val="21"/>
                <w:szCs w:val="21"/>
                <w:highlight w:val="none"/>
                <w:u w:val="none"/>
              </w:rPr>
            </w:pPr>
            <w:r>
              <w:rPr>
                <w:rFonts w:hint="eastAsia" w:asciiTheme="majorEastAsia" w:hAnsiTheme="majorEastAsia" w:eastAsiaTheme="majorEastAsia" w:cstheme="majorEastAsia"/>
                <w:i w:val="0"/>
                <w:iCs w:val="0"/>
                <w:color w:val="auto"/>
                <w:kern w:val="0"/>
                <w:sz w:val="21"/>
                <w:szCs w:val="21"/>
                <w:highlight w:val="none"/>
                <w:u w:val="none"/>
                <w:lang w:val="en-US" w:eastAsia="zh-CN" w:bidi="ar"/>
              </w:rPr>
              <w:t>64500</w:t>
            </w:r>
          </w:p>
        </w:tc>
        <w:tc>
          <w:tcPr>
            <w:tcW w:w="13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380CD">
            <w:pPr>
              <w:jc w:val="center"/>
              <w:rPr>
                <w:rFonts w:hint="eastAsia" w:asciiTheme="majorEastAsia" w:hAnsiTheme="majorEastAsia" w:eastAsiaTheme="majorEastAsia" w:cstheme="majorEastAsia"/>
                <w:i w:val="0"/>
                <w:iCs w:val="0"/>
                <w:color w:val="auto"/>
                <w:sz w:val="21"/>
                <w:szCs w:val="21"/>
                <w:highlight w:val="none"/>
                <w:u w:val="none"/>
              </w:rPr>
            </w:pPr>
          </w:p>
        </w:tc>
      </w:tr>
    </w:tbl>
    <w:p w14:paraId="4721A0C7">
      <w:pPr>
        <w:keepNext w:val="0"/>
        <w:keepLines w:val="0"/>
        <w:pageBreakBefore w:val="0"/>
        <w:widowControl w:val="0"/>
        <w:kinsoku/>
        <w:wordWrap/>
        <w:overflowPunct/>
        <w:topLinePunct w:val="0"/>
        <w:autoSpaceDE/>
        <w:autoSpaceDN/>
        <w:bidi w:val="0"/>
        <w:adjustRightInd/>
        <w:spacing w:line="360" w:lineRule="exact"/>
        <w:ind w:firstLine="422" w:firstLineChars="200"/>
        <w:jc w:val="left"/>
        <w:textAlignment w:val="auto"/>
        <w:outlineLvl w:val="1"/>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、付款方式</w:t>
      </w:r>
    </w:p>
    <w:p w14:paraId="51E08B21">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合同签订，验收合格后，根据项目审定费用支付合同款。</w:t>
      </w:r>
    </w:p>
    <w:p w14:paraId="1B6228CE">
      <w:pPr>
        <w:keepNext w:val="0"/>
        <w:keepLines w:val="0"/>
        <w:pageBreakBefore w:val="0"/>
        <w:widowControl w:val="0"/>
        <w:kinsoku/>
        <w:wordWrap/>
        <w:overflowPunct/>
        <w:topLinePunct w:val="0"/>
        <w:autoSpaceDE/>
        <w:autoSpaceDN/>
        <w:bidi w:val="0"/>
        <w:adjustRightInd/>
        <w:spacing w:line="360" w:lineRule="exact"/>
        <w:ind w:right="210"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四</w:t>
      </w:r>
      <w:r>
        <w:rPr>
          <w:rFonts w:hint="eastAsia" w:ascii="宋体" w:hAnsi="宋体" w:eastAsia="宋体" w:cs="宋体"/>
          <w:b/>
          <w:color w:val="auto"/>
          <w:sz w:val="21"/>
          <w:szCs w:val="21"/>
          <w:highlight w:val="none"/>
        </w:rPr>
        <w:t>、报价方式</w:t>
      </w:r>
    </w:p>
    <w:p w14:paraId="7C6243BE">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本项目谈判报价为</w:t>
      </w:r>
      <w:r>
        <w:rPr>
          <w:rFonts w:hint="eastAsia" w:ascii="宋体" w:hAnsi="宋体" w:eastAsia="宋体" w:cs="宋体"/>
          <w:b/>
          <w:bCs/>
          <w:color w:val="auto"/>
          <w:sz w:val="21"/>
          <w:szCs w:val="21"/>
          <w:highlight w:val="none"/>
        </w:rPr>
        <w:t>固定</w:t>
      </w:r>
      <w:r>
        <w:rPr>
          <w:rFonts w:hint="eastAsia" w:ascii="宋体" w:hAnsi="宋体" w:cs="宋体"/>
          <w:b/>
          <w:bCs/>
          <w:color w:val="auto"/>
          <w:sz w:val="21"/>
          <w:szCs w:val="21"/>
          <w:highlight w:val="none"/>
          <w:lang w:val="en-US" w:eastAsia="zh-CN"/>
        </w:rPr>
        <w:t>单</w:t>
      </w:r>
      <w:r>
        <w:rPr>
          <w:rFonts w:hint="eastAsia" w:ascii="宋体" w:hAnsi="宋体" w:eastAsia="宋体" w:cs="宋体"/>
          <w:b/>
          <w:bCs/>
          <w:color w:val="auto"/>
          <w:sz w:val="21"/>
          <w:szCs w:val="21"/>
          <w:highlight w:val="none"/>
          <w:lang w:val="en-US" w:eastAsia="zh-CN"/>
        </w:rPr>
        <w:t>价</w:t>
      </w:r>
      <w:r>
        <w:rPr>
          <w:rFonts w:hint="eastAsia" w:ascii="宋体" w:hAnsi="宋体" w:eastAsia="宋体" w:cs="宋体"/>
          <w:color w:val="auto"/>
          <w:sz w:val="21"/>
          <w:szCs w:val="21"/>
          <w:highlight w:val="none"/>
        </w:rPr>
        <w:t>，谈判报价应包括竞争性谈判文件所确定的采购范围相应服务的提供、人员（包括工资和补贴）、</w:t>
      </w:r>
      <w:r>
        <w:rPr>
          <w:rFonts w:hint="eastAsia" w:ascii="宋体" w:hAnsi="宋体" w:cs="宋体"/>
          <w:color w:val="auto"/>
          <w:sz w:val="21"/>
          <w:szCs w:val="21"/>
          <w:highlight w:val="none"/>
          <w:lang w:eastAsia="zh-CN"/>
        </w:rPr>
        <w:t>维修和保养材料</w:t>
      </w:r>
      <w:r>
        <w:rPr>
          <w:rFonts w:hint="eastAsia" w:ascii="宋体" w:hAnsi="宋体" w:eastAsia="宋体" w:cs="宋体"/>
          <w:color w:val="auto"/>
          <w:sz w:val="21"/>
          <w:szCs w:val="21"/>
          <w:highlight w:val="none"/>
        </w:rPr>
        <w:t>、备品备件、耗材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办公场所及设施、保险、劳保、管理、各种税费、利润、税金、政策性文件规定及合同包含的所有风险、责任等各项应有费用，以及为完成该项服务项目所涉及到的一切相关费用，采购人不再支付其他任何费用。</w:t>
      </w:r>
    </w:p>
    <w:p w14:paraId="6D555CA4">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报价货币为人民币，评审时以人民币为准。 </w:t>
      </w:r>
    </w:p>
    <w:p w14:paraId="4F50F868">
      <w:pP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p>
    <w:p w14:paraId="17B9ED43">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14:paraId="54D51A13">
      <w:pPr>
        <w:pStyle w:val="9"/>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14:paraId="5DC38ECB">
      <w:pPr>
        <w:pStyle w:val="9"/>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14:paraId="100E29C6">
      <w:pPr>
        <w:pStyle w:val="3"/>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14:paraId="7141D828">
      <w:pPr>
        <w:pStyle w:val="9"/>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甲乙双方依据《中华人民共和国民法典》以及有关法律、法规的规定，经协商一致，订立本合同，以便共同遵守。</w:t>
      </w:r>
    </w:p>
    <w:p w14:paraId="08DA8875">
      <w:pPr>
        <w:pStyle w:val="9"/>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14:paraId="3E265619">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14:paraId="5450D134">
      <w:pPr>
        <w:pStyle w:val="9"/>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14:paraId="1E0B58D1">
      <w:pPr>
        <w:pStyle w:val="9"/>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14:paraId="4FA1CFB5">
      <w:pPr>
        <w:pStyle w:val="9"/>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本合同总价包括谈判文件所确定的采购范围相应服务的提供、人员（包括工资和补贴）、</w:t>
      </w:r>
      <w:r>
        <w:rPr>
          <w:rFonts w:hint="eastAsia" w:cs="宋体" w:asciiTheme="minorEastAsia" w:hAnsiTheme="minorEastAsia"/>
          <w:color w:val="auto"/>
          <w:sz w:val="21"/>
          <w:szCs w:val="21"/>
          <w:highlight w:val="none"/>
          <w:lang w:eastAsia="zh-CN"/>
        </w:rPr>
        <w:t>维修和保养材料</w:t>
      </w:r>
      <w:r>
        <w:rPr>
          <w:rFonts w:hint="eastAsia" w:cs="宋体" w:asciiTheme="minorEastAsia" w:hAnsiTheme="minorEastAsia"/>
          <w:color w:val="auto"/>
          <w:sz w:val="21"/>
          <w:szCs w:val="21"/>
          <w:highlight w:val="none"/>
        </w:rPr>
        <w:t>、备品备件、耗材</w:t>
      </w:r>
      <w:r>
        <w:rPr>
          <w:rFonts w:hint="eastAsia" w:cs="宋体" w:asciiTheme="minorEastAsia" w:hAnsiTheme="minorEastAsia"/>
          <w:color w:val="auto"/>
          <w:sz w:val="21"/>
          <w:szCs w:val="21"/>
          <w:highlight w:val="none"/>
          <w:lang w:eastAsia="zh-CN"/>
        </w:rPr>
        <w:t>、</w:t>
      </w:r>
      <w:r>
        <w:rPr>
          <w:rFonts w:hint="eastAsia" w:cs="宋体" w:asciiTheme="minorEastAsia" w:hAnsiTheme="minorEastAsia"/>
          <w:color w:val="auto"/>
          <w:sz w:val="21"/>
          <w:szCs w:val="21"/>
          <w:highlight w:val="none"/>
        </w:rPr>
        <w:t>办公场所及设施、保险、劳保、管理、各种税费、利润、税金、政策性文件规定及合同包含的所有风险、责任等各项应有费用，以及为完成该项服务项目所涉及到的一切相关费用，采购人不再支付其他任何费用。</w:t>
      </w:r>
    </w:p>
    <w:p w14:paraId="36E0F508">
      <w:pPr>
        <w:pStyle w:val="9"/>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14:paraId="2834720F">
      <w:pPr>
        <w:pStyle w:val="9"/>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14:paraId="03493202">
      <w:pPr>
        <w:pStyle w:val="9"/>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14:paraId="75524147">
      <w:pPr>
        <w:pStyle w:val="9"/>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（1）竞争性谈判文件（编号：</w:t>
      </w:r>
      <w:r>
        <w:rPr>
          <w:rFonts w:hint="eastAsia" w:cs="宋体" w:asciiTheme="minorEastAsia" w:hAnsiTheme="minorEastAsia"/>
          <w:color w:val="auto"/>
          <w:sz w:val="21"/>
          <w:szCs w:val="21"/>
          <w:highlight w:val="none"/>
          <w:lang w:eastAsia="zh-CN"/>
        </w:rPr>
        <w:t>SYZB-SJ-2026005</w:t>
      </w:r>
      <w:r>
        <w:rPr>
          <w:rFonts w:hint="eastAsia" w:cs="宋体" w:asciiTheme="minorEastAsia" w:hAnsiTheme="minorEastAsia"/>
          <w:color w:val="auto"/>
          <w:sz w:val="21"/>
          <w:szCs w:val="21"/>
          <w:highlight w:val="none"/>
        </w:rPr>
        <w:t xml:space="preserve">）（2）乙方提供的谈判响应文件； </w:t>
      </w:r>
    </w:p>
    <w:p w14:paraId="16CC136E">
      <w:pPr>
        <w:pStyle w:val="9"/>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 xml:space="preserve">）成交通知书；        </w:t>
      </w:r>
      <w:r>
        <w:rPr>
          <w:rFonts w:cs="宋体" w:asciiTheme="minorEastAsia" w:hAnsiTheme="minorEastAsia"/>
          <w:color w:val="auto"/>
          <w:sz w:val="21"/>
          <w:szCs w:val="21"/>
          <w:highlight w:val="none"/>
        </w:rPr>
        <w:t xml:space="preserve">                </w:t>
      </w: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14:paraId="7061A148">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14:paraId="707D5994">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w:t>
      </w:r>
      <w:r>
        <w:rPr>
          <w:rFonts w:hint="eastAsia" w:asciiTheme="minorEastAsia" w:hAnsiTheme="minorEastAsia" w:eastAsiaTheme="minorEastAsia"/>
          <w:color w:val="auto"/>
          <w:szCs w:val="21"/>
          <w:highlight w:val="none"/>
        </w:rPr>
        <w:t>币支付。</w:t>
      </w:r>
    </w:p>
    <w:p w14:paraId="011C46F9">
      <w:pPr>
        <w:keepNext w:val="0"/>
        <w:keepLines w:val="0"/>
        <w:pageBreakBefore w:val="0"/>
        <w:tabs>
          <w:tab w:val="left" w:pos="284"/>
        </w:tabs>
        <w:kinsoku/>
        <w:wordWrap/>
        <w:overflowPunct/>
        <w:topLinePunct w:val="0"/>
        <w:autoSpaceDE/>
        <w:autoSpaceDN/>
        <w:bidi w:val="0"/>
        <w:spacing w:line="360" w:lineRule="exact"/>
        <w:ind w:firstLine="420" w:firstLineChars="200"/>
        <w:textAlignment w:val="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2.结算方式：固定单价，按实结算。</w:t>
      </w:r>
    </w:p>
    <w:p w14:paraId="7E1827CF">
      <w:pPr>
        <w:pStyle w:val="4"/>
        <w:ind w:firstLine="420" w:firstLineChars="200"/>
        <w:rPr>
          <w:rFonts w:hint="eastAsia"/>
          <w:color w:val="auto"/>
          <w:highlight w:val="none"/>
          <w:lang w:val="en-US" w:eastAsia="zh-CN"/>
        </w:rPr>
      </w:pPr>
      <w:r>
        <w:rPr>
          <w:rFonts w:hint="eastAsia" w:asciiTheme="minorEastAsia" w:hAnsiTheme="minorEastAsia" w:eastAsiaTheme="minorEastAsia"/>
          <w:color w:val="auto"/>
          <w:szCs w:val="21"/>
          <w:highlight w:val="none"/>
        </w:rPr>
        <w:t>3.付款方式：</w:t>
      </w:r>
      <w:r>
        <w:rPr>
          <w:rFonts w:hint="eastAsia"/>
          <w:color w:val="auto"/>
          <w:highlight w:val="none"/>
          <w:lang w:val="en-US" w:eastAsia="zh-CN"/>
        </w:rPr>
        <w:t>合同签订，验收合格后，根据项目审定费用支付合同款。</w:t>
      </w:r>
    </w:p>
    <w:p w14:paraId="0E4FCCE4">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14:paraId="3C0C225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14:paraId="3A5927F4">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asciiTheme="minorEastAsia" w:hAnsiTheme="minorEastAsia" w:eastAsiaTheme="minorEastAsia"/>
          <w:color w:val="auto"/>
          <w:highlight w:val="none"/>
        </w:rPr>
        <w:t>发出之日</w:t>
      </w:r>
      <w:r>
        <w:rPr>
          <w:rFonts w:hint="eastAsia" w:asciiTheme="minorEastAsia" w:hAnsiTheme="minorEastAsia" w:eastAsiaTheme="minorEastAsia"/>
          <w:color w:val="auto"/>
          <w:highlight w:val="none"/>
        </w:rPr>
        <w:t>生效。</w:t>
      </w:r>
    </w:p>
    <w:p w14:paraId="027B8524">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甲方未按合同规定的期限向乙方支付</w:t>
      </w:r>
      <w:r>
        <w:rPr>
          <w:rFonts w:hint="eastAsia" w:asciiTheme="minorEastAsia" w:hAnsiTheme="minorEastAsia" w:eastAsiaTheme="minorEastAsia"/>
          <w:color w:val="auto"/>
          <w:highlight w:val="none"/>
          <w:lang w:val="en-US" w:eastAsia="zh-CN"/>
        </w:rPr>
        <w:t>款项</w:t>
      </w:r>
      <w:r>
        <w:rPr>
          <w:rFonts w:hint="eastAsia" w:asciiTheme="minorEastAsia" w:hAnsiTheme="minorEastAsia" w:eastAsiaTheme="minorEastAsia"/>
          <w:color w:val="auto"/>
          <w:highlight w:val="none"/>
        </w:rPr>
        <w:t>的，每逾期</w:t>
      </w: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天甲方向乙方偿付欠款总额的</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‰滞纳金，但累计滞纳金总额不超过欠款总额的</w:t>
      </w:r>
      <w:r>
        <w:rPr>
          <w:rFonts w:asciiTheme="minorEastAsia" w:hAnsiTheme="minorEastAsia" w:eastAsiaTheme="minorEastAsia"/>
          <w:color w:val="auto"/>
          <w:highlight w:val="none"/>
        </w:rPr>
        <w:t xml:space="preserve">5% </w:t>
      </w:r>
      <w:r>
        <w:rPr>
          <w:rFonts w:hint="eastAsia" w:asciiTheme="minorEastAsia" w:hAnsiTheme="minorEastAsia" w:eastAsiaTheme="minorEastAsia"/>
          <w:color w:val="auto"/>
          <w:highlight w:val="none"/>
        </w:rPr>
        <w:t>。</w:t>
      </w:r>
    </w:p>
    <w:p w14:paraId="0806B821">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14:paraId="7C210EBD">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1438F044">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乙方有虚假承诺，或是由于乙方的过错造成合同无法继续履行的，应向甲方支付不少于合同总价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14:paraId="7629CE52">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6</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其他未尽事宜，以《中华人民共和国民法典》等有关法律法规规定为准，无相关规定的，双方协商解决。</w:t>
      </w:r>
    </w:p>
    <w:p w14:paraId="07FA69FD">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14:paraId="4AD3FE79">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14:paraId="3B71D52F">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w:t>
      </w:r>
      <w:r>
        <w:rPr>
          <w:rFonts w:hint="eastAsia" w:asciiTheme="minorEastAsia" w:hAnsiTheme="minorEastAsia" w:eastAsiaTheme="minorEastAsia"/>
          <w:color w:val="auto"/>
          <w:szCs w:val="21"/>
          <w:highlight w:val="none"/>
        </w:rPr>
        <w:t>。</w:t>
      </w:r>
    </w:p>
    <w:p w14:paraId="4BD5DE3E">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14:paraId="02430CBC">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14:paraId="0D8F1780">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14:paraId="77F8A3F2">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14:paraId="397F0ED5">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14:paraId="2E40E90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14:paraId="5BBAC6FE">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14:paraId="77A2E19A">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14:paraId="319A136E">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14:paraId="0B13D211">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14:paraId="473DA616">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14:paraId="191DE946">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乙方应诚实信用，严格按照竞争性谈判文件要求和谈判承诺履行合同，不向甲方进行商业贿赂或者提供不正当利益。</w:t>
      </w:r>
    </w:p>
    <w:p w14:paraId="34B1034E">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 合同生效及其他</w:t>
      </w:r>
    </w:p>
    <w:p w14:paraId="36D73BA8">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473FCDC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14:paraId="0477A039">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14:paraId="00DA1C14">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58C6DAE2">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14:paraId="6CE51D87">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14:paraId="2E1E0F61">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法定代表人：       委托代理人：          法定代表人：     委托代理人：                            </w:t>
      </w:r>
    </w:p>
    <w:p w14:paraId="131D2EF3">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3685A0EF">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传真：                                   开户银行：        账号：                                                                                 </w:t>
      </w:r>
    </w:p>
    <w:p w14:paraId="784AD139">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03732977">
      <w:pPr>
        <w:tabs>
          <w:tab w:val="left" w:pos="3780"/>
        </w:tabs>
        <w:spacing w:line="400" w:lineRule="exact"/>
        <w:rPr>
          <w:rFonts w:ascii="宋体" w:hAnsi="宋体" w:cs="宋体"/>
          <w:color w:val="auto"/>
          <w:szCs w:val="21"/>
          <w:highlight w:val="none"/>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rPr>
        <w:t>江苏尚阳工程管理有限公司</w:t>
      </w:r>
    </w:p>
    <w:p w14:paraId="672E2F3C">
      <w:pPr>
        <w:spacing w:line="400" w:lineRule="exact"/>
        <w:rPr>
          <w:rFonts w:ascii="宋体" w:hAnsi="宋体" w:cs="宋体"/>
          <w:color w:val="auto"/>
          <w:szCs w:val="21"/>
          <w:highlight w:val="none"/>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color w:val="auto"/>
          <w:szCs w:val="21"/>
          <w:highlight w:val="none"/>
        </w:rPr>
        <w:t>经办人：                               电  话：</w:t>
      </w:r>
    </w:p>
    <w:p w14:paraId="51396251">
      <w:pPr>
        <w:numPr>
          <w:ilvl w:val="0"/>
          <w:numId w:val="1"/>
        </w:num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14:paraId="3435A407">
      <w:pPr>
        <w:spacing w:line="360" w:lineRule="exact"/>
        <w:ind w:firstLine="411" w:firstLineChars="196"/>
        <w:rPr>
          <w:rFonts w:ascii="宋体" w:hAnsi="宋体"/>
          <w:color w:val="auto"/>
          <w:szCs w:val="21"/>
          <w:highlight w:val="none"/>
        </w:rPr>
      </w:pPr>
    </w:p>
    <w:p w14:paraId="0C843D41">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w:t>
      </w:r>
      <w:r>
        <w:rPr>
          <w:rFonts w:hint="eastAsia" w:ascii="宋体" w:hAnsi="宋体"/>
          <w:b/>
          <w:bCs/>
          <w:color w:val="auto"/>
          <w:szCs w:val="21"/>
          <w:highlight w:val="none"/>
        </w:rPr>
        <w:t>最低评标价法</w:t>
      </w:r>
      <w:r>
        <w:rPr>
          <w:rFonts w:hint="eastAsia" w:ascii="宋体" w:hAnsi="宋体"/>
          <w:color w:val="auto"/>
          <w:szCs w:val="21"/>
          <w:highlight w:val="none"/>
        </w:rPr>
        <w:t>，谈判响应文件满足竞争性谈判文件全部实质性要求且最终报价最低的供应商为成交供应商。</w:t>
      </w:r>
    </w:p>
    <w:p w14:paraId="671C17D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14:paraId="6F835E0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三、</w:t>
      </w:r>
      <w:r>
        <w:rPr>
          <w:rFonts w:hint="eastAsia" w:ascii="宋体" w:hAnsi="宋体"/>
          <w:color w:val="auto"/>
          <w:szCs w:val="21"/>
          <w:highlight w:val="none"/>
        </w:rPr>
        <w:t>1.此处用于评审比较的最终报价，是指在供应商最终报价的基础上，经过算术修正后，再依据政府采购政策进行价格调整（如本国产品价格扣除）后形成的价格。</w:t>
      </w:r>
    </w:p>
    <w:p w14:paraId="528087CB">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2.本项目涉及货物的采购，适用本国产品标准。根据《国务院办公厅关于在政府采购中实施本国产品标准及相关政策的通知》（国办发〔2025〕34号）的规定，执行价格评审优惠如下：</w:t>
      </w:r>
    </w:p>
    <w:p w14:paraId="020C3E87">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（1）本项目采购标的为多种产品。当采购活动中既有本国产品又有非本国产品参与竞争时，执行以下价格扣除政策：</w:t>
      </w:r>
    </w:p>
    <w:p w14:paraId="5B11CC8F">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①若供应商为该项目提供的符合本国产品标准的产品成本之和，占其提供的全部产品（标的所属行业注明是工业的产品）成本之和的比例达到80%以上，且其在响应文件中对此作出承诺，则依法对该供应商提供的全部产品给予价格评审优惠，即对该供应商提供的全部产品的总报价给予20%的价格扣除，用扣除后的价格参与评审。</w:t>
      </w:r>
    </w:p>
    <w:p w14:paraId="3F4C7F3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②若供应商提供的符合本国产品标准的产品成本之和占其全部产品成本之和的比例未达到80%，则对该供应商不执行本国产品的价格扣除政策。</w:t>
      </w:r>
    </w:p>
    <w:p w14:paraId="39216336">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上述价格扣除优惠，仅适用于采购活动中实际存在“既有本国产品又有非本国产品参与竞争”的情形。“非本国产品”包括虽在中国境内生产但不满足本国产品标准的产品。如果所有有效投标供应商提供的所有产品均被证实为本国产品（即不存在非本国产品竞争），则不执行本国产品的价格扣除政策。</w:t>
      </w:r>
    </w:p>
    <w:p w14:paraId="41E4CE92">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4.供应商应在响应文件中提供《关于符合本国产品标准的声明函》或财政部会同有关部门规定的有关证明文件，以证明其产品符合本国产品标准。谈判小组将对声明函或证明文件的完整性、准确性进行审查。</w:t>
      </w:r>
    </w:p>
    <w:p w14:paraId="3BE91A24">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四</w:t>
      </w:r>
      <w:r>
        <w:rPr>
          <w:rFonts w:hint="eastAsia" w:ascii="宋体" w:hAnsi="宋体"/>
          <w:color w:val="auto"/>
          <w:szCs w:val="21"/>
          <w:highlight w:val="none"/>
        </w:rPr>
        <w:t>、报价相同的，由采购人抽签决定成交供应商。</w:t>
      </w:r>
    </w:p>
    <w:p w14:paraId="11E191CA">
      <w:pPr>
        <w:spacing w:line="360" w:lineRule="exact"/>
        <w:ind w:firstLine="420" w:firstLineChars="200"/>
        <w:rPr>
          <w:rFonts w:hint="eastAsia" w:ascii="宋体" w:hAnsi="宋体"/>
          <w:color w:val="auto"/>
          <w:szCs w:val="21"/>
          <w:highlight w:val="none"/>
        </w:rPr>
      </w:pPr>
    </w:p>
    <w:p w14:paraId="04C21F94">
      <w:pPr>
        <w:spacing w:line="360" w:lineRule="exact"/>
        <w:ind w:firstLine="411" w:firstLineChars="196"/>
        <w:rPr>
          <w:rFonts w:ascii="宋体" w:hAnsi="宋体"/>
          <w:color w:val="auto"/>
          <w:szCs w:val="21"/>
          <w:highlight w:val="none"/>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018D3AD">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14:paraId="38EABA71">
      <w:pPr>
        <w:pStyle w:val="23"/>
        <w:spacing w:line="360" w:lineRule="exact"/>
        <w:rPr>
          <w:rFonts w:cs="宋体"/>
          <w:b/>
          <w:color w:val="auto"/>
          <w:sz w:val="28"/>
          <w:szCs w:val="28"/>
          <w:highlight w:val="none"/>
        </w:rPr>
      </w:pPr>
    </w:p>
    <w:p w14:paraId="0569F013">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2F2603A1">
      <w:pPr>
        <w:spacing w:line="360" w:lineRule="auto"/>
        <w:rPr>
          <w:rFonts w:ascii="宋体" w:hAnsi="宋体"/>
          <w:color w:val="auto"/>
          <w:szCs w:val="21"/>
          <w:highlight w:val="none"/>
        </w:rPr>
      </w:pPr>
      <w:r>
        <w:rPr>
          <w:rFonts w:hint="eastAsia" w:ascii="宋体" w:hAnsi="宋体"/>
          <w:color w:val="auto"/>
          <w:szCs w:val="21"/>
          <w:highlight w:val="none"/>
        </w:rPr>
        <w:t>尊敬的供应商及项目参与人：</w:t>
      </w:r>
    </w:p>
    <w:p w14:paraId="253FADC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为营造公正的市场环境，确保谈判工作规范有序开展，特将有关事项告知如下：</w:t>
      </w:r>
    </w:p>
    <w:p w14:paraId="14CD092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14:paraId="02D0C6B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（一）接受供应商组织的宴请、旅游、娱乐等活动；</w:t>
      </w:r>
    </w:p>
    <w:p w14:paraId="4DA4DB5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（二）与供应商或采购人恶意串通的；</w:t>
      </w:r>
    </w:p>
    <w:p w14:paraId="23EAC14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7231E78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（四）违规向关联参与人或供应商透露谈判或评审信息的；</w:t>
      </w:r>
    </w:p>
    <w:p w14:paraId="4BA39B8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14:paraId="7C477E7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二、供应商及项目参与人应当遵守采购活动工作规则，有下列情形之一的，将被列入不良行为纪录，建议有关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一至三年内参与代理机构组织的一切项目，并在相关媒体网站予以公布：</w:t>
      </w:r>
    </w:p>
    <w:p w14:paraId="52512F1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9" w:name="OLE_LINK1"/>
      <w:r>
        <w:rPr>
          <w:rFonts w:hint="eastAsia" w:ascii="宋体" w:hAnsi="宋体"/>
          <w:color w:val="auto"/>
          <w:szCs w:val="21"/>
          <w:highlight w:val="none"/>
        </w:rPr>
        <w:t>在采购活动实施过程中，有吵闹、起哄、斗殴等行为，扰乱谈判现场秩序的，以及在答疑、领取竞争性谈判、办理相关手续过程中扰乱正常办公秩序的；</w:t>
      </w:r>
    </w:p>
    <w:bookmarkEnd w:id="49"/>
    <w:p w14:paraId="5911706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（二）采取不正当手段诋毁、排挤其他供应商的；</w:t>
      </w:r>
    </w:p>
    <w:p w14:paraId="38518F4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14:paraId="5EB47F7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（四）向采购人、代理机构工作人员行贿或提供其他不正当利益的；</w:t>
      </w:r>
    </w:p>
    <w:p w14:paraId="17ACEB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（五）未按规定程序进行质疑、投诉，影响项目正常进行的。</w:t>
      </w:r>
    </w:p>
    <w:p w14:paraId="1D76A55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14:paraId="67D29A4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投诉监督电话：0519-88818225</w:t>
      </w:r>
    </w:p>
    <w:p w14:paraId="4EED29CF">
      <w:pPr>
        <w:pStyle w:val="23"/>
        <w:spacing w:line="360" w:lineRule="exact"/>
        <w:rPr>
          <w:rFonts w:cs="宋体"/>
          <w:b/>
          <w:color w:val="auto"/>
          <w:sz w:val="28"/>
          <w:szCs w:val="28"/>
          <w:highlight w:val="none"/>
        </w:rPr>
      </w:pPr>
    </w:p>
    <w:p w14:paraId="3B7CA26F">
      <w:pPr>
        <w:pStyle w:val="12"/>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049DA64">
      <w:pPr>
        <w:pStyle w:val="23"/>
        <w:spacing w:line="360" w:lineRule="exact"/>
        <w:rPr>
          <w:rFonts w:cs="宋体"/>
          <w:b/>
          <w:color w:val="auto"/>
          <w:sz w:val="32"/>
          <w:highlight w:val="none"/>
        </w:rPr>
      </w:pPr>
      <w:r>
        <w:rPr>
          <w:rFonts w:hint="eastAsia" w:cs="宋体"/>
          <w:b/>
          <w:color w:val="auto"/>
          <w:sz w:val="28"/>
          <w:szCs w:val="28"/>
          <w:highlight w:val="none"/>
        </w:rPr>
        <w:t>1.谈判响应函</w:t>
      </w:r>
    </w:p>
    <w:p w14:paraId="41AE0FA8">
      <w:pPr>
        <w:pStyle w:val="12"/>
        <w:rPr>
          <w:rFonts w:ascii="宋体" w:hAnsi="宋体" w:cs="宋体"/>
          <w:color w:val="auto"/>
          <w:highlight w:val="none"/>
        </w:rPr>
      </w:pPr>
    </w:p>
    <w:p w14:paraId="0C835FFE">
      <w:pPr>
        <w:pStyle w:val="23"/>
        <w:spacing w:line="360" w:lineRule="exact"/>
        <w:jc w:val="center"/>
        <w:rPr>
          <w:rFonts w:cs="宋体"/>
          <w:b/>
          <w:color w:val="auto"/>
          <w:sz w:val="28"/>
          <w:szCs w:val="28"/>
          <w:highlight w:val="none"/>
        </w:rPr>
      </w:pPr>
      <w:r>
        <w:rPr>
          <w:rFonts w:hint="eastAsia" w:cs="宋体"/>
          <w:b/>
          <w:color w:val="auto"/>
          <w:sz w:val="28"/>
          <w:szCs w:val="28"/>
          <w:highlight w:val="none"/>
        </w:rPr>
        <w:t>谈判响应函</w:t>
      </w:r>
    </w:p>
    <w:p w14:paraId="7FE9314D">
      <w:pPr>
        <w:pStyle w:val="23"/>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eastAsia="zh-CN"/>
        </w:rPr>
        <w:t>常州市公安局</w:t>
      </w:r>
      <w:r>
        <w:rPr>
          <w:rFonts w:hint="eastAsia" w:cs="宋体" w:asciiTheme="minorEastAsia" w:hAnsiTheme="minorEastAsia" w:eastAsiaTheme="minorEastAsia"/>
          <w:color w:val="auto"/>
          <w:sz w:val="21"/>
          <w:szCs w:val="21"/>
          <w:highlight w:val="none"/>
        </w:rPr>
        <w:t>、江苏尚阳工程管理有限公司 ：</w:t>
      </w:r>
    </w:p>
    <w:p w14:paraId="704547BE">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号”谈判文件后，经仔细阅读和研究，我单位决定参加本项目的竞争性谈判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14:paraId="06937277">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w:t>
      </w:r>
      <w:r>
        <w:rPr>
          <w:rFonts w:hint="eastAsia" w:cs="宋体" w:asciiTheme="minorEastAsia" w:hAnsiTheme="minorEastAsia" w:eastAsiaTheme="minorEastAsia"/>
          <w:color w:val="auto"/>
          <w:sz w:val="21"/>
          <w:szCs w:val="21"/>
          <w:highlight w:val="none"/>
        </w:rPr>
        <w:t>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提供竞争性谈判文件中要求的所有资料，并保证完全真实准确，若有虚假和违背，我单位愿意承担由此而产生的一切后果。</w:t>
      </w:r>
    </w:p>
    <w:p w14:paraId="50FA9CE7">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600730FF">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color w:val="auto"/>
          <w:sz w:val="21"/>
          <w:szCs w:val="21"/>
          <w:highlight w:val="none"/>
        </w:rPr>
        <w:t>6</w:t>
      </w:r>
      <w:r>
        <w:rPr>
          <w:rFonts w:hint="eastAsia" w:cs="宋体" w:asciiTheme="minorEastAsia" w:hAnsiTheme="minorEastAsia" w:eastAsiaTheme="minorEastAsia"/>
          <w:color w:val="auto"/>
          <w:sz w:val="21"/>
          <w:szCs w:val="21"/>
          <w:highlight w:val="none"/>
        </w:rPr>
        <w:t>0天。</w:t>
      </w:r>
    </w:p>
    <w:p w14:paraId="56579C4C">
      <w:pPr>
        <w:pStyle w:val="23"/>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按竞争性谈判文件规定的各项要求，向采购人提供所需服务。谈判总价包括竞争性谈判文件所确定的采购范围相应服务的提供、人员（包括工资和补贴）、</w:t>
      </w:r>
      <w:r>
        <w:rPr>
          <w:rFonts w:hint="eastAsia" w:asciiTheme="minorEastAsia" w:hAnsiTheme="minorEastAsia" w:eastAsiaTheme="minorEastAsia"/>
          <w:color w:val="auto"/>
          <w:sz w:val="21"/>
          <w:szCs w:val="21"/>
          <w:highlight w:val="none"/>
          <w:lang w:eastAsia="zh-CN"/>
        </w:rPr>
        <w:t>维修和保养材料</w:t>
      </w:r>
      <w:r>
        <w:rPr>
          <w:rFonts w:hint="eastAsia" w:asciiTheme="minorEastAsia" w:hAnsiTheme="minorEastAsia" w:eastAsiaTheme="minorEastAsia"/>
          <w:color w:val="auto"/>
          <w:sz w:val="21"/>
          <w:szCs w:val="21"/>
          <w:highlight w:val="none"/>
        </w:rPr>
        <w:t>、备品备件、耗材</w:t>
      </w:r>
      <w:r>
        <w:rPr>
          <w:rFonts w:hint="eastAsia" w:asciiTheme="minorEastAsia" w:hAnsiTheme="minorEastAsia" w:eastAsiaTheme="minorEastAsia"/>
          <w:color w:val="auto"/>
          <w:sz w:val="21"/>
          <w:szCs w:val="21"/>
          <w:highlight w:val="none"/>
          <w:lang w:eastAsia="zh-CN"/>
        </w:rPr>
        <w:t>、</w:t>
      </w:r>
      <w:r>
        <w:rPr>
          <w:rFonts w:hint="eastAsia" w:asciiTheme="minorEastAsia" w:hAnsiTheme="minorEastAsia" w:eastAsiaTheme="minorEastAsia"/>
          <w:color w:val="auto"/>
          <w:sz w:val="21"/>
          <w:szCs w:val="21"/>
          <w:highlight w:val="none"/>
        </w:rPr>
        <w:t>办公场所及设施、保险、劳保、管理、各种税费、利润、税金、政策性文件规定及合同包含的所有风险、责任等各项应有费用，以及为完成该项服务项目所涉及到的一切相关费用，采购人不再支付其他任何费用。</w:t>
      </w:r>
    </w:p>
    <w:p w14:paraId="3905680E">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14:paraId="6DC179F6">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14:paraId="0A4E0FDC">
      <w:pPr>
        <w:pStyle w:val="23"/>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7.如果我单位的谈判响应文件被接受，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严格履行竞争性谈判文件中规定的每一项要求，按期、按质、按量履行合同的义务。</w:t>
      </w:r>
    </w:p>
    <w:p w14:paraId="77D27A9F">
      <w:pPr>
        <w:pStyle w:val="23"/>
        <w:spacing w:line="360" w:lineRule="exact"/>
        <w:ind w:firstLine="405"/>
        <w:rPr>
          <w:rFonts w:cs="宋体"/>
          <w:color w:val="auto"/>
          <w:sz w:val="21"/>
          <w:szCs w:val="21"/>
          <w:highlight w:val="none"/>
        </w:rPr>
      </w:pPr>
      <w:r>
        <w:rPr>
          <w:rFonts w:hint="eastAsia" w:cs="宋体"/>
          <w:color w:val="auto"/>
          <w:sz w:val="21"/>
          <w:szCs w:val="21"/>
          <w:highlight w:val="none"/>
        </w:rPr>
        <w:t>8.与本次谈判有关的正式通讯地址为：</w:t>
      </w:r>
    </w:p>
    <w:p w14:paraId="1B66D10A">
      <w:pPr>
        <w:pStyle w:val="23"/>
        <w:spacing w:line="360" w:lineRule="exact"/>
        <w:jc w:val="left"/>
        <w:rPr>
          <w:rFonts w:cs="宋体"/>
          <w:color w:val="auto"/>
          <w:sz w:val="21"/>
          <w:szCs w:val="21"/>
          <w:highlight w:val="none"/>
        </w:rPr>
      </w:pPr>
    </w:p>
    <w:p w14:paraId="4AA9DE2B">
      <w:pPr>
        <w:pStyle w:val="23"/>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1562DDB7">
      <w:pPr>
        <w:pStyle w:val="23"/>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07330C90">
      <w:pPr>
        <w:pStyle w:val="23"/>
        <w:spacing w:line="360" w:lineRule="exact"/>
        <w:rPr>
          <w:rFonts w:cs="宋体"/>
          <w:color w:val="auto"/>
          <w:sz w:val="21"/>
          <w:szCs w:val="21"/>
          <w:highlight w:val="none"/>
        </w:rPr>
      </w:pPr>
      <w:r>
        <w:rPr>
          <w:rFonts w:hint="eastAsia" w:cs="宋体"/>
          <w:color w:val="auto"/>
          <w:sz w:val="21"/>
          <w:szCs w:val="21"/>
          <w:highlight w:val="none"/>
        </w:rPr>
        <w:t xml:space="preserve">传   真：                  </w:t>
      </w:r>
    </w:p>
    <w:p w14:paraId="0CF27822">
      <w:pPr>
        <w:pStyle w:val="23"/>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61C59AC5">
      <w:pPr>
        <w:pStyle w:val="23"/>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176667A4">
      <w:pPr>
        <w:pStyle w:val="23"/>
        <w:spacing w:line="360" w:lineRule="exact"/>
        <w:rPr>
          <w:rFonts w:cs="宋体"/>
          <w:color w:val="auto"/>
          <w:sz w:val="21"/>
          <w:szCs w:val="21"/>
          <w:highlight w:val="none"/>
        </w:rPr>
      </w:pPr>
      <w:r>
        <w:rPr>
          <w:rFonts w:hint="eastAsia" w:cs="宋体"/>
          <w:color w:val="auto"/>
          <w:sz w:val="21"/>
          <w:szCs w:val="21"/>
          <w:highlight w:val="none"/>
        </w:rPr>
        <w:t>日    期：     年    月    日</w:t>
      </w:r>
    </w:p>
    <w:p w14:paraId="0AB10531">
      <w:pPr>
        <w:pStyle w:val="12"/>
        <w:rPr>
          <w:color w:val="auto"/>
          <w:highlight w:val="none"/>
        </w:rPr>
      </w:pPr>
    </w:p>
    <w:p w14:paraId="25CB196F">
      <w:pPr>
        <w:rPr>
          <w:color w:val="auto"/>
          <w:highlight w:val="none"/>
        </w:rPr>
      </w:pPr>
    </w:p>
    <w:p w14:paraId="47AA2358">
      <w:pPr>
        <w:pStyle w:val="23"/>
        <w:spacing w:line="360" w:lineRule="exact"/>
        <w:rPr>
          <w:rFonts w:cs="宋体"/>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1824FB3">
      <w:pPr>
        <w:pStyle w:val="23"/>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14:paraId="31E01DAF">
      <w:pPr>
        <w:rPr>
          <w:color w:val="auto"/>
          <w:highlight w:val="none"/>
        </w:rPr>
      </w:pPr>
    </w:p>
    <w:p w14:paraId="5CF370A2">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4241D908">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289F7C8C">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6E68E745">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6746F54A">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的工作，签署上述项目的谈判响应文件、进行合同谈判、签署合同和处理与之有关的一切事务。</w:t>
      </w:r>
    </w:p>
    <w:p w14:paraId="3A00814B">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6B1750F9">
      <w:pPr>
        <w:spacing w:line="360" w:lineRule="auto"/>
        <w:rPr>
          <w:rFonts w:ascii="宋体" w:hAnsi="宋体"/>
          <w:color w:val="auto"/>
          <w:szCs w:val="21"/>
          <w:highlight w:val="none"/>
        </w:rPr>
      </w:pPr>
    </w:p>
    <w:p w14:paraId="606CA678">
      <w:pPr>
        <w:spacing w:line="360" w:lineRule="auto"/>
        <w:rPr>
          <w:rFonts w:ascii="宋体" w:hAnsi="宋体"/>
          <w:color w:val="auto"/>
          <w:szCs w:val="21"/>
          <w:highlight w:val="none"/>
        </w:rPr>
      </w:pPr>
    </w:p>
    <w:p w14:paraId="1BF5D831">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7D7E44CA">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08BA43C4">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2AAEA534">
      <w:pPr>
        <w:tabs>
          <w:tab w:val="left" w:pos="6045"/>
        </w:tabs>
        <w:snapToGrid w:val="0"/>
        <w:spacing w:line="360" w:lineRule="auto"/>
        <w:ind w:left="210" w:hanging="210" w:hangingChars="100"/>
        <w:rPr>
          <w:rFonts w:ascii="宋体" w:hAnsi="宋体"/>
          <w:color w:val="auto"/>
          <w:szCs w:val="21"/>
          <w:highlight w:val="none"/>
        </w:rPr>
      </w:pPr>
    </w:p>
    <w:p w14:paraId="61A9B539">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6D0570B4">
      <w:pPr>
        <w:snapToGrid w:val="0"/>
        <w:spacing w:line="360" w:lineRule="auto"/>
        <w:rPr>
          <w:rFonts w:ascii="宋体" w:hAnsi="宋体"/>
          <w:color w:val="auto"/>
          <w:szCs w:val="21"/>
          <w:highlight w:val="none"/>
        </w:rPr>
      </w:pPr>
    </w:p>
    <w:p w14:paraId="63FF9E1B">
      <w:pPr>
        <w:snapToGrid w:val="0"/>
        <w:spacing w:line="360" w:lineRule="auto"/>
        <w:rPr>
          <w:rFonts w:ascii="宋体" w:hAnsi="宋体"/>
          <w:b/>
          <w:color w:val="auto"/>
          <w:szCs w:val="21"/>
          <w:highlight w:val="none"/>
        </w:rPr>
      </w:pPr>
    </w:p>
    <w:p w14:paraId="755D368F">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6368A0B7">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0429BCC4">
      <w:pPr>
        <w:snapToGrid w:val="0"/>
        <w:spacing w:line="360" w:lineRule="auto"/>
        <w:rPr>
          <w:rFonts w:ascii="宋体" w:hAnsi="宋体"/>
          <w:b/>
          <w:color w:val="auto"/>
          <w:sz w:val="24"/>
          <w:szCs w:val="28"/>
          <w:highlight w:val="none"/>
        </w:rPr>
      </w:pPr>
    </w:p>
    <w:p w14:paraId="2B0C99AA">
      <w:pPr>
        <w:snapToGrid w:val="0"/>
        <w:spacing w:line="360" w:lineRule="auto"/>
        <w:rPr>
          <w:rFonts w:ascii="宋体" w:hAnsi="宋体"/>
          <w:b/>
          <w:color w:val="auto"/>
          <w:sz w:val="24"/>
          <w:szCs w:val="28"/>
          <w:highlight w:val="none"/>
        </w:rPr>
      </w:pPr>
    </w:p>
    <w:p w14:paraId="4C90D406">
      <w:pPr>
        <w:rPr>
          <w:color w:val="auto"/>
          <w:highlight w:val="none"/>
        </w:rPr>
      </w:pPr>
    </w:p>
    <w:p w14:paraId="794528F0">
      <w:pPr>
        <w:rPr>
          <w:color w:val="auto"/>
          <w:highlight w:val="none"/>
        </w:rPr>
      </w:pPr>
    </w:p>
    <w:p w14:paraId="5593BE34">
      <w:pPr>
        <w:rPr>
          <w:color w:val="auto"/>
          <w:highlight w:val="none"/>
        </w:rPr>
      </w:pPr>
    </w:p>
    <w:p w14:paraId="2FD3DC8D">
      <w:pPr>
        <w:rPr>
          <w:color w:val="auto"/>
          <w:highlight w:val="none"/>
        </w:rPr>
      </w:pPr>
    </w:p>
    <w:p w14:paraId="270DBAE5">
      <w:pPr>
        <w:rPr>
          <w:color w:val="auto"/>
          <w:highlight w:val="none"/>
        </w:rPr>
      </w:pPr>
    </w:p>
    <w:p w14:paraId="7F9D6EC4">
      <w:pPr>
        <w:rPr>
          <w:color w:val="auto"/>
          <w:highlight w:val="none"/>
        </w:rPr>
      </w:pPr>
    </w:p>
    <w:p w14:paraId="6A770EED">
      <w:pPr>
        <w:rPr>
          <w:color w:val="auto"/>
          <w:highlight w:val="none"/>
        </w:rPr>
      </w:pPr>
    </w:p>
    <w:p w14:paraId="440F3801">
      <w:pPr>
        <w:rPr>
          <w:color w:val="auto"/>
          <w:highlight w:val="none"/>
        </w:rPr>
      </w:pPr>
    </w:p>
    <w:p w14:paraId="0997E42B">
      <w:pPr>
        <w:rPr>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05130C4C">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14:paraId="0A150E40">
      <w:pPr>
        <w:pStyle w:val="23"/>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06CA7656">
      <w:pPr>
        <w:adjustRightInd w:val="0"/>
        <w:snapToGrid w:val="0"/>
        <w:spacing w:line="360" w:lineRule="auto"/>
        <w:ind w:firstLine="516" w:firstLineChars="215"/>
        <w:rPr>
          <w:rFonts w:ascii="宋体" w:hAnsi="宋体" w:cs="宋体"/>
          <w:color w:val="auto"/>
          <w:sz w:val="24"/>
          <w:szCs w:val="24"/>
          <w:highlight w:val="none"/>
        </w:rPr>
      </w:pPr>
    </w:p>
    <w:p w14:paraId="02EEE228">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14:paraId="76987A0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14:paraId="776230E4">
      <w:pPr>
        <w:adjustRightInd w:val="0"/>
        <w:snapToGrid w:val="0"/>
        <w:spacing w:line="360" w:lineRule="auto"/>
        <w:rPr>
          <w:rFonts w:ascii="宋体" w:hAnsi="宋体" w:cs="宋体"/>
          <w:color w:val="auto"/>
          <w:sz w:val="24"/>
          <w:szCs w:val="24"/>
          <w:highlight w:val="none"/>
        </w:rPr>
      </w:pPr>
    </w:p>
    <w:p w14:paraId="1D6E5277">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668F6B33">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59C60CB1">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64F27406">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4EC9D067">
      <w:pPr>
        <w:spacing w:line="400" w:lineRule="exact"/>
        <w:rPr>
          <w:rFonts w:ascii="宋体" w:hAnsi="宋体" w:cs="宋体"/>
          <w:color w:val="auto"/>
          <w:szCs w:val="21"/>
          <w:highlight w:val="none"/>
        </w:rPr>
      </w:pPr>
    </w:p>
    <w:p w14:paraId="3A1EA692">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2BC41755">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4F503F9C">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6EDCE766">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3968F0C5">
      <w:pPr>
        <w:spacing w:line="400" w:lineRule="exact"/>
        <w:rPr>
          <w:rFonts w:ascii="宋体" w:hAnsi="宋体" w:cs="宋体"/>
          <w:color w:val="auto"/>
          <w:szCs w:val="21"/>
          <w:highlight w:val="none"/>
        </w:rPr>
      </w:pPr>
    </w:p>
    <w:p w14:paraId="550C1572">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0E800D7C">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5B183550">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008E3EC4">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6AD1EC34">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76CA3E03">
      <w:pPr>
        <w:spacing w:line="400" w:lineRule="exact"/>
        <w:rPr>
          <w:rFonts w:ascii="宋体" w:hAnsi="宋体"/>
          <w:color w:val="auto"/>
          <w:szCs w:val="21"/>
          <w:highlight w:val="none"/>
        </w:rPr>
      </w:pPr>
    </w:p>
    <w:p w14:paraId="234917DA">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3D14468A">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7242E376">
      <w:pPr>
        <w:spacing w:line="360" w:lineRule="auto"/>
        <w:rPr>
          <w:rFonts w:ascii="宋体" w:hAnsi="宋体" w:cs="宋体"/>
          <w:color w:val="auto"/>
          <w:sz w:val="24"/>
          <w:szCs w:val="24"/>
          <w:highlight w:val="none"/>
        </w:rPr>
      </w:pPr>
    </w:p>
    <w:p w14:paraId="072A12E9">
      <w:pPr>
        <w:spacing w:line="360" w:lineRule="auto"/>
        <w:rPr>
          <w:rFonts w:ascii="宋体" w:hAnsi="宋体" w:cs="宋体"/>
          <w:color w:val="auto"/>
          <w:szCs w:val="21"/>
          <w:highlight w:val="none"/>
        </w:rPr>
      </w:pPr>
    </w:p>
    <w:p w14:paraId="4E9C0CB6">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14:paraId="1E5B64A3">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1.法定代表人参加谈判时，需携带本人身份证原件。</w:t>
      </w:r>
    </w:p>
    <w:p w14:paraId="02E8C666">
      <w:pPr>
        <w:rPr>
          <w:rFonts w:ascii="宋体" w:hAnsi="宋体" w:cs="宋体"/>
          <w:color w:val="auto"/>
          <w:szCs w:val="21"/>
          <w:highlight w:val="none"/>
        </w:rPr>
      </w:pPr>
      <w:r>
        <w:rPr>
          <w:rFonts w:hint="eastAsia" w:ascii="宋体" w:hAnsi="宋体" w:cs="宋体"/>
          <w:color w:val="auto"/>
          <w:szCs w:val="21"/>
          <w:highlight w:val="none"/>
        </w:rPr>
        <w:t>2.委托代理人参加谈判时，需携带授权委托书和本人身份证原件。</w:t>
      </w:r>
    </w:p>
    <w:p w14:paraId="3D291659">
      <w:pPr>
        <w:outlineLvl w:val="1"/>
        <w:rPr>
          <w:rFonts w:ascii="宋体" w:hAnsi="宋体" w:cs="宋体"/>
          <w:b/>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582B0755">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14:paraId="1586C976">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156200EC">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5"/>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3CDA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BAC54BC">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14:paraId="3E613D98">
            <w:pPr>
              <w:widowControl/>
              <w:jc w:val="center"/>
              <w:rPr>
                <w:rFonts w:ascii="宋体" w:hAnsi="宋体"/>
                <w:color w:val="auto"/>
                <w:szCs w:val="21"/>
                <w:highlight w:val="none"/>
              </w:rPr>
            </w:pPr>
          </w:p>
        </w:tc>
      </w:tr>
      <w:tr w14:paraId="72E6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2DB90AF8">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14:paraId="66B96EDB">
            <w:pPr>
              <w:widowControl/>
              <w:jc w:val="center"/>
              <w:rPr>
                <w:rFonts w:ascii="宋体" w:hAnsi="宋体"/>
                <w:color w:val="auto"/>
                <w:szCs w:val="21"/>
                <w:highlight w:val="none"/>
              </w:rPr>
            </w:pPr>
          </w:p>
        </w:tc>
      </w:tr>
      <w:tr w14:paraId="48F6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2093" w:type="dxa"/>
            <w:vAlign w:val="center"/>
          </w:tcPr>
          <w:p w14:paraId="7D246B12">
            <w:pPr>
              <w:jc w:val="center"/>
              <w:rPr>
                <w:rFonts w:hint="eastAsia" w:ascii="宋体" w:hAnsi="宋体"/>
                <w:color w:val="auto"/>
                <w:szCs w:val="21"/>
                <w:highlight w:val="none"/>
              </w:rPr>
            </w:pPr>
            <w:r>
              <w:rPr>
                <w:rFonts w:hint="eastAsia" w:ascii="宋体" w:hAnsi="宋体"/>
                <w:color w:val="auto"/>
                <w:szCs w:val="21"/>
                <w:highlight w:val="none"/>
              </w:rPr>
              <w:t>谈判报价</w:t>
            </w:r>
          </w:p>
          <w:p w14:paraId="26028EDB">
            <w:pPr>
              <w:jc w:val="center"/>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服务+货物</w:t>
            </w:r>
            <w:r>
              <w:rPr>
                <w:rFonts w:hint="eastAsia" w:ascii="宋体" w:hAnsi="宋体"/>
                <w:color w:val="auto"/>
                <w:szCs w:val="21"/>
                <w:highlight w:val="none"/>
                <w:lang w:eastAsia="zh-CN"/>
              </w:rPr>
              <w:t>）</w:t>
            </w:r>
          </w:p>
        </w:tc>
        <w:tc>
          <w:tcPr>
            <w:tcW w:w="6662" w:type="dxa"/>
            <w:vAlign w:val="center"/>
          </w:tcPr>
          <w:p w14:paraId="2C698216">
            <w:pPr>
              <w:widowControl/>
              <w:jc w:val="center"/>
              <w:rPr>
                <w:rFonts w:ascii="宋体" w:hAnsi="宋体"/>
                <w:color w:val="auto"/>
                <w:szCs w:val="21"/>
                <w:highlight w:val="none"/>
              </w:rPr>
            </w:pPr>
            <w:r>
              <w:rPr>
                <w:rFonts w:hint="eastAsia" w:cs="宋体" w:asciiTheme="minorEastAsia" w:hAnsiTheme="minorEastAsia" w:eastAsiaTheme="minorEastAsia"/>
                <w:color w:val="auto"/>
                <w:szCs w:val="21"/>
                <w:highlight w:val="none"/>
              </w:rPr>
              <w:t>元</w:t>
            </w:r>
          </w:p>
        </w:tc>
      </w:tr>
      <w:tr w14:paraId="40D3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4D0A2DC7">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14:paraId="3949BFFA">
            <w:pPr>
              <w:widowControl/>
              <w:jc w:val="center"/>
              <w:rPr>
                <w:rFonts w:ascii="宋体" w:hAnsi="宋体"/>
                <w:color w:val="auto"/>
                <w:szCs w:val="21"/>
                <w:highlight w:val="none"/>
              </w:rPr>
            </w:pPr>
          </w:p>
        </w:tc>
      </w:tr>
    </w:tbl>
    <w:p w14:paraId="7BF0911B">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64001636">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DEB1918">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4CE8F11">
      <w:pPr>
        <w:rPr>
          <w:rFonts w:ascii="宋体" w:hAnsi="宋体" w:cs="宋体"/>
          <w:b/>
          <w:color w:val="auto"/>
          <w:sz w:val="28"/>
          <w:szCs w:val="28"/>
          <w:highlight w:val="none"/>
        </w:rPr>
      </w:pPr>
      <w:r>
        <w:rPr>
          <w:rFonts w:ascii="宋体" w:hAnsi="宋体" w:cs="宋体"/>
          <w:b/>
          <w:color w:val="auto"/>
          <w:sz w:val="28"/>
          <w:szCs w:val="28"/>
          <w:highlight w:val="none"/>
        </w:rPr>
        <w:br w:type="page"/>
      </w:r>
    </w:p>
    <w:p w14:paraId="725153A4">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14:paraId="1348C2A0">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谈判分项报价表</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服务+货物</w:t>
      </w:r>
      <w:r>
        <w:rPr>
          <w:rFonts w:hint="eastAsia" w:ascii="宋体" w:hAnsi="宋体"/>
          <w:b/>
          <w:color w:val="auto"/>
          <w:sz w:val="28"/>
          <w:szCs w:val="28"/>
          <w:highlight w:val="none"/>
          <w:lang w:eastAsia="zh-CN"/>
        </w:rPr>
        <w:t>）</w:t>
      </w:r>
    </w:p>
    <w:p w14:paraId="73EED062">
      <w:pPr>
        <w:keepNext w:val="0"/>
        <w:keepLines w:val="0"/>
        <w:pageBreakBefore w:val="0"/>
        <w:kinsoku/>
        <w:wordWrap/>
        <w:overflowPunct/>
        <w:topLinePunct w:val="0"/>
        <w:autoSpaceDE/>
        <w:autoSpaceDN/>
        <w:bidi w:val="0"/>
        <w:snapToGrid w:val="0"/>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w:t>
      </w:r>
    </w:p>
    <w:tbl>
      <w:tblPr>
        <w:tblStyle w:val="15"/>
        <w:tblW w:w="8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423"/>
        <w:gridCol w:w="2533"/>
        <w:gridCol w:w="1042"/>
        <w:gridCol w:w="992"/>
        <w:gridCol w:w="919"/>
        <w:gridCol w:w="1072"/>
      </w:tblGrid>
      <w:tr w14:paraId="6B16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69" w:type="dxa"/>
            <w:vMerge w:val="restart"/>
            <w:tcBorders>
              <w:top w:val="single" w:color="auto" w:sz="4" w:space="0"/>
              <w:left w:val="single" w:color="auto" w:sz="4" w:space="0"/>
              <w:bottom w:val="single" w:color="auto" w:sz="4" w:space="0"/>
              <w:right w:val="single" w:color="auto" w:sz="4" w:space="0"/>
            </w:tcBorders>
            <w:noWrap w:val="0"/>
            <w:vAlign w:val="center"/>
          </w:tcPr>
          <w:p w14:paraId="235DD448">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序号</w:t>
            </w:r>
          </w:p>
        </w:tc>
        <w:tc>
          <w:tcPr>
            <w:tcW w:w="1423" w:type="dxa"/>
            <w:vMerge w:val="restart"/>
            <w:tcBorders>
              <w:top w:val="single" w:color="auto" w:sz="4" w:space="0"/>
              <w:left w:val="single" w:color="auto" w:sz="4" w:space="0"/>
              <w:bottom w:val="single" w:color="auto" w:sz="4" w:space="0"/>
              <w:right w:val="single" w:color="auto" w:sz="4" w:space="0"/>
            </w:tcBorders>
            <w:noWrap w:val="0"/>
            <w:vAlign w:val="center"/>
          </w:tcPr>
          <w:p w14:paraId="2143F7EC">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分项名称</w:t>
            </w:r>
          </w:p>
        </w:tc>
        <w:tc>
          <w:tcPr>
            <w:tcW w:w="2533" w:type="dxa"/>
            <w:vMerge w:val="restart"/>
            <w:tcBorders>
              <w:top w:val="single" w:color="auto" w:sz="4" w:space="0"/>
              <w:left w:val="single" w:color="auto" w:sz="4" w:space="0"/>
              <w:bottom w:val="single" w:color="auto" w:sz="4" w:space="0"/>
              <w:right w:val="single" w:color="auto" w:sz="4" w:space="0"/>
            </w:tcBorders>
            <w:noWrap w:val="0"/>
            <w:vAlign w:val="center"/>
          </w:tcPr>
          <w:p w14:paraId="6085EDFA">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服务内容</w:t>
            </w:r>
          </w:p>
        </w:tc>
        <w:tc>
          <w:tcPr>
            <w:tcW w:w="1042" w:type="dxa"/>
            <w:vMerge w:val="restart"/>
            <w:tcBorders>
              <w:top w:val="single" w:color="auto" w:sz="4" w:space="0"/>
              <w:left w:val="single" w:color="auto" w:sz="4" w:space="0"/>
              <w:bottom w:val="single" w:color="auto" w:sz="4" w:space="0"/>
              <w:right w:val="single" w:color="auto" w:sz="4" w:space="0"/>
            </w:tcBorders>
            <w:noWrap w:val="0"/>
            <w:vAlign w:val="center"/>
          </w:tcPr>
          <w:p w14:paraId="3857C59D">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数量</w:t>
            </w:r>
          </w:p>
        </w:tc>
        <w:tc>
          <w:tcPr>
            <w:tcW w:w="992" w:type="dxa"/>
            <w:vMerge w:val="restart"/>
            <w:tcBorders>
              <w:top w:val="single" w:color="auto" w:sz="4" w:space="0"/>
              <w:left w:val="single" w:color="auto" w:sz="4" w:space="0"/>
              <w:bottom w:val="single" w:color="auto" w:sz="4" w:space="0"/>
              <w:right w:val="single" w:color="auto" w:sz="4" w:space="0"/>
            </w:tcBorders>
            <w:noWrap w:val="0"/>
            <w:vAlign w:val="center"/>
          </w:tcPr>
          <w:p w14:paraId="2900ABD5">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单位</w:t>
            </w: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222A3615">
            <w:pPr>
              <w:widowControl/>
              <w:snapToGrid w:val="0"/>
              <w:spacing w:line="360" w:lineRule="auto"/>
              <w:jc w:val="center"/>
              <w:outlineLvl w:val="9"/>
              <w:rPr>
                <w:rFonts w:hint="eastAsia" w:ascii="宋体" w:hAnsi="宋体" w:eastAsia="宋体" w:cs="Arial"/>
                <w:color w:val="auto"/>
                <w:kern w:val="0"/>
                <w:sz w:val="18"/>
                <w:szCs w:val="18"/>
                <w:highlight w:val="none"/>
                <w:lang w:eastAsia="zh-CN"/>
              </w:rPr>
            </w:pPr>
            <w:r>
              <w:rPr>
                <w:rFonts w:hint="eastAsia" w:ascii="宋体" w:hAnsi="宋体" w:cs="Arial"/>
                <w:color w:val="auto"/>
                <w:kern w:val="0"/>
                <w:sz w:val="18"/>
                <w:szCs w:val="18"/>
                <w:highlight w:val="none"/>
                <w:lang w:val="en-US" w:eastAsia="zh-CN"/>
              </w:rPr>
              <w:t>响应</w:t>
            </w:r>
            <w:r>
              <w:rPr>
                <w:rFonts w:hint="eastAsia" w:ascii="宋体" w:hAnsi="宋体" w:cs="Arial"/>
                <w:color w:val="auto"/>
                <w:kern w:val="0"/>
                <w:sz w:val="18"/>
                <w:szCs w:val="18"/>
                <w:highlight w:val="none"/>
              </w:rPr>
              <w:t>价格</w:t>
            </w:r>
            <w:r>
              <w:rPr>
                <w:rFonts w:hint="eastAsia" w:ascii="宋体" w:hAnsi="宋体" w:cs="Arial"/>
                <w:color w:val="auto"/>
                <w:kern w:val="0"/>
                <w:sz w:val="18"/>
                <w:szCs w:val="18"/>
                <w:highlight w:val="none"/>
                <w:lang w:eastAsia="zh-CN"/>
              </w:rPr>
              <w:t>（</w:t>
            </w:r>
            <w:r>
              <w:rPr>
                <w:rFonts w:hint="eastAsia" w:ascii="宋体" w:hAnsi="宋体" w:cs="Arial"/>
                <w:color w:val="auto"/>
                <w:kern w:val="0"/>
                <w:sz w:val="18"/>
                <w:szCs w:val="18"/>
                <w:highlight w:val="none"/>
                <w:lang w:val="en-US" w:eastAsia="zh-CN"/>
              </w:rPr>
              <w:t>元</w:t>
            </w:r>
            <w:r>
              <w:rPr>
                <w:rFonts w:hint="eastAsia" w:ascii="宋体" w:hAnsi="宋体" w:cs="Arial"/>
                <w:color w:val="auto"/>
                <w:kern w:val="0"/>
                <w:sz w:val="18"/>
                <w:szCs w:val="18"/>
                <w:highlight w:val="none"/>
                <w:lang w:eastAsia="zh-CN"/>
              </w:rPr>
              <w:t>）</w:t>
            </w:r>
          </w:p>
        </w:tc>
      </w:tr>
      <w:tr w14:paraId="2435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69" w:type="dxa"/>
            <w:vMerge w:val="continue"/>
            <w:tcBorders>
              <w:top w:val="single" w:color="auto" w:sz="4" w:space="0"/>
              <w:left w:val="single" w:color="auto" w:sz="4" w:space="0"/>
              <w:bottom w:val="single" w:color="auto" w:sz="4" w:space="0"/>
              <w:right w:val="single" w:color="auto" w:sz="4" w:space="0"/>
            </w:tcBorders>
            <w:noWrap w:val="0"/>
            <w:vAlign w:val="center"/>
          </w:tcPr>
          <w:p w14:paraId="57986D28">
            <w:pPr>
              <w:widowControl/>
              <w:jc w:val="left"/>
              <w:outlineLvl w:val="9"/>
              <w:rPr>
                <w:rFonts w:ascii="宋体" w:hAnsi="宋体" w:cs="Arial"/>
                <w:color w:val="auto"/>
                <w:kern w:val="0"/>
                <w:sz w:val="18"/>
                <w:szCs w:val="18"/>
                <w:highlight w:val="none"/>
              </w:rPr>
            </w:pPr>
          </w:p>
        </w:tc>
        <w:tc>
          <w:tcPr>
            <w:tcW w:w="1423" w:type="dxa"/>
            <w:vMerge w:val="continue"/>
            <w:tcBorders>
              <w:top w:val="single" w:color="auto" w:sz="4" w:space="0"/>
              <w:left w:val="single" w:color="auto" w:sz="4" w:space="0"/>
              <w:bottom w:val="single" w:color="auto" w:sz="4" w:space="0"/>
              <w:right w:val="single" w:color="auto" w:sz="4" w:space="0"/>
            </w:tcBorders>
            <w:noWrap w:val="0"/>
            <w:vAlign w:val="center"/>
          </w:tcPr>
          <w:p w14:paraId="6EB3E317">
            <w:pPr>
              <w:widowControl/>
              <w:jc w:val="left"/>
              <w:outlineLvl w:val="9"/>
              <w:rPr>
                <w:rFonts w:ascii="宋体" w:hAnsi="宋体" w:cs="Arial"/>
                <w:color w:val="auto"/>
                <w:kern w:val="0"/>
                <w:sz w:val="18"/>
                <w:szCs w:val="18"/>
                <w:highlight w:val="none"/>
              </w:rPr>
            </w:pPr>
          </w:p>
        </w:tc>
        <w:tc>
          <w:tcPr>
            <w:tcW w:w="2533" w:type="dxa"/>
            <w:vMerge w:val="continue"/>
            <w:tcBorders>
              <w:top w:val="single" w:color="auto" w:sz="4" w:space="0"/>
              <w:left w:val="single" w:color="auto" w:sz="4" w:space="0"/>
              <w:bottom w:val="single" w:color="auto" w:sz="4" w:space="0"/>
              <w:right w:val="single" w:color="auto" w:sz="4" w:space="0"/>
            </w:tcBorders>
            <w:noWrap w:val="0"/>
            <w:vAlign w:val="center"/>
          </w:tcPr>
          <w:p w14:paraId="5113D8B2">
            <w:pPr>
              <w:widowControl/>
              <w:jc w:val="left"/>
              <w:outlineLvl w:val="9"/>
              <w:rPr>
                <w:rFonts w:ascii="宋体" w:hAnsi="宋体" w:cs="Arial"/>
                <w:color w:val="auto"/>
                <w:kern w:val="0"/>
                <w:sz w:val="18"/>
                <w:szCs w:val="18"/>
                <w:highlight w:val="none"/>
              </w:rPr>
            </w:pPr>
          </w:p>
        </w:tc>
        <w:tc>
          <w:tcPr>
            <w:tcW w:w="1042" w:type="dxa"/>
            <w:vMerge w:val="continue"/>
            <w:tcBorders>
              <w:top w:val="single" w:color="auto" w:sz="4" w:space="0"/>
              <w:left w:val="single" w:color="auto" w:sz="4" w:space="0"/>
              <w:bottom w:val="single" w:color="auto" w:sz="4" w:space="0"/>
              <w:right w:val="single" w:color="auto" w:sz="4" w:space="0"/>
            </w:tcBorders>
            <w:noWrap w:val="0"/>
            <w:vAlign w:val="center"/>
          </w:tcPr>
          <w:p w14:paraId="07BB1DBE">
            <w:pPr>
              <w:widowControl/>
              <w:jc w:val="left"/>
              <w:outlineLvl w:val="9"/>
              <w:rPr>
                <w:rFonts w:ascii="宋体" w:hAnsi="宋体" w:cs="Arial"/>
                <w:color w:val="auto"/>
                <w:kern w:val="0"/>
                <w:sz w:val="18"/>
                <w:szCs w:val="18"/>
                <w:highlight w:val="none"/>
              </w:rPr>
            </w:pPr>
          </w:p>
        </w:tc>
        <w:tc>
          <w:tcPr>
            <w:tcW w:w="992" w:type="dxa"/>
            <w:vMerge w:val="continue"/>
            <w:tcBorders>
              <w:top w:val="single" w:color="auto" w:sz="4" w:space="0"/>
              <w:left w:val="single" w:color="auto" w:sz="4" w:space="0"/>
              <w:bottom w:val="single" w:color="auto" w:sz="4" w:space="0"/>
              <w:right w:val="single" w:color="auto" w:sz="4" w:space="0"/>
            </w:tcBorders>
            <w:noWrap w:val="0"/>
            <w:vAlign w:val="center"/>
          </w:tcPr>
          <w:p w14:paraId="712ABA03">
            <w:pPr>
              <w:widowControl/>
              <w:jc w:val="left"/>
              <w:outlineLvl w:val="9"/>
              <w:rPr>
                <w:rFonts w:ascii="宋体" w:hAnsi="宋体" w:cs="Arial"/>
                <w:color w:val="auto"/>
                <w:kern w:val="0"/>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7EF4830A">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单价</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761B7E4F">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合价</w:t>
            </w:r>
          </w:p>
        </w:tc>
      </w:tr>
      <w:tr w14:paraId="61999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5D5A9E93">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1</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374191D">
            <w:pPr>
              <w:widowControl/>
              <w:snapToGrid w:val="0"/>
              <w:spacing w:line="360" w:lineRule="auto"/>
              <w:jc w:val="center"/>
              <w:outlineLvl w:val="9"/>
              <w:rPr>
                <w:rFonts w:ascii="宋体" w:hAnsi="宋体" w:cs="Arial"/>
                <w:b/>
                <w:bCs/>
                <w:color w:val="auto"/>
                <w:kern w:val="0"/>
                <w:sz w:val="18"/>
                <w:szCs w:val="18"/>
                <w:highlight w:val="none"/>
              </w:rPr>
            </w:pPr>
          </w:p>
        </w:tc>
        <w:tc>
          <w:tcPr>
            <w:tcW w:w="2533" w:type="dxa"/>
            <w:tcBorders>
              <w:top w:val="single" w:color="auto" w:sz="4" w:space="0"/>
              <w:left w:val="single" w:color="auto" w:sz="4" w:space="0"/>
              <w:bottom w:val="single" w:color="auto" w:sz="4" w:space="0"/>
              <w:right w:val="single" w:color="auto" w:sz="4" w:space="0"/>
            </w:tcBorders>
            <w:noWrap w:val="0"/>
            <w:vAlign w:val="center"/>
          </w:tcPr>
          <w:p w14:paraId="0478C544">
            <w:pPr>
              <w:widowControl/>
              <w:snapToGrid w:val="0"/>
              <w:spacing w:line="360" w:lineRule="auto"/>
              <w:jc w:val="center"/>
              <w:outlineLvl w:val="9"/>
              <w:rPr>
                <w:rFonts w:ascii="宋体" w:hAnsi="宋体" w:cs="Arial"/>
                <w:color w:val="auto"/>
                <w:kern w:val="0"/>
                <w:sz w:val="18"/>
                <w:szCs w:val="18"/>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A08DA6A">
            <w:pPr>
              <w:widowControl/>
              <w:snapToGrid w:val="0"/>
              <w:spacing w:line="360" w:lineRule="auto"/>
              <w:jc w:val="center"/>
              <w:outlineLvl w:val="9"/>
              <w:rPr>
                <w:rFonts w:ascii="宋体" w:hAnsi="宋体" w:cs="Arial"/>
                <w:color w:val="auto"/>
                <w:kern w:val="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4F77EABE">
            <w:pPr>
              <w:widowControl/>
              <w:snapToGrid w:val="0"/>
              <w:spacing w:line="360" w:lineRule="auto"/>
              <w:jc w:val="center"/>
              <w:outlineLvl w:val="9"/>
              <w:rPr>
                <w:rFonts w:ascii="宋体" w:hAnsi="宋体" w:cs="Arial"/>
                <w:color w:val="auto"/>
                <w:kern w:val="0"/>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005E71AC">
            <w:pPr>
              <w:widowControl/>
              <w:snapToGrid w:val="0"/>
              <w:spacing w:line="360" w:lineRule="auto"/>
              <w:jc w:val="center"/>
              <w:outlineLvl w:val="9"/>
              <w:rPr>
                <w:rFonts w:ascii="宋体" w:hAnsi="宋体" w:cs="Arial"/>
                <w:color w:val="auto"/>
                <w:kern w:val="0"/>
                <w:sz w:val="18"/>
                <w:szCs w:val="18"/>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13866B5D">
            <w:pPr>
              <w:widowControl/>
              <w:snapToGrid w:val="0"/>
              <w:spacing w:line="360" w:lineRule="auto"/>
              <w:jc w:val="center"/>
              <w:outlineLvl w:val="9"/>
              <w:rPr>
                <w:rFonts w:ascii="宋体" w:hAnsi="宋体" w:cs="Arial"/>
                <w:color w:val="auto"/>
                <w:kern w:val="0"/>
                <w:sz w:val="18"/>
                <w:szCs w:val="18"/>
                <w:highlight w:val="none"/>
              </w:rPr>
            </w:pPr>
          </w:p>
        </w:tc>
      </w:tr>
      <w:tr w14:paraId="594E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11C61C92">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2</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42C48848">
            <w:pPr>
              <w:widowControl/>
              <w:snapToGrid w:val="0"/>
              <w:spacing w:line="360" w:lineRule="auto"/>
              <w:jc w:val="center"/>
              <w:outlineLvl w:val="9"/>
              <w:rPr>
                <w:rFonts w:ascii="宋体" w:hAnsi="宋体" w:cs="Arial"/>
                <w:b/>
                <w:bCs/>
                <w:color w:val="auto"/>
                <w:kern w:val="0"/>
                <w:sz w:val="18"/>
                <w:szCs w:val="18"/>
                <w:highlight w:val="none"/>
              </w:rPr>
            </w:pPr>
          </w:p>
        </w:tc>
        <w:tc>
          <w:tcPr>
            <w:tcW w:w="2533" w:type="dxa"/>
            <w:tcBorders>
              <w:top w:val="single" w:color="auto" w:sz="4" w:space="0"/>
              <w:left w:val="single" w:color="auto" w:sz="4" w:space="0"/>
              <w:bottom w:val="single" w:color="auto" w:sz="4" w:space="0"/>
              <w:right w:val="single" w:color="auto" w:sz="4" w:space="0"/>
            </w:tcBorders>
            <w:noWrap w:val="0"/>
            <w:vAlign w:val="center"/>
          </w:tcPr>
          <w:p w14:paraId="46704F4D">
            <w:pPr>
              <w:widowControl/>
              <w:snapToGrid w:val="0"/>
              <w:spacing w:line="360" w:lineRule="auto"/>
              <w:jc w:val="center"/>
              <w:outlineLvl w:val="9"/>
              <w:rPr>
                <w:rFonts w:ascii="宋体" w:hAnsi="宋体" w:cs="Arial"/>
                <w:color w:val="auto"/>
                <w:kern w:val="0"/>
                <w:sz w:val="18"/>
                <w:szCs w:val="18"/>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A098976">
            <w:pPr>
              <w:widowControl/>
              <w:snapToGrid w:val="0"/>
              <w:spacing w:line="360" w:lineRule="auto"/>
              <w:jc w:val="center"/>
              <w:outlineLvl w:val="9"/>
              <w:rPr>
                <w:rFonts w:ascii="宋体" w:hAnsi="宋体" w:cs="Arial"/>
                <w:color w:val="auto"/>
                <w:kern w:val="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29496A35">
            <w:pPr>
              <w:widowControl/>
              <w:snapToGrid w:val="0"/>
              <w:spacing w:line="360" w:lineRule="auto"/>
              <w:jc w:val="center"/>
              <w:outlineLvl w:val="9"/>
              <w:rPr>
                <w:rFonts w:ascii="宋体" w:hAnsi="宋体" w:cs="Arial"/>
                <w:color w:val="auto"/>
                <w:kern w:val="0"/>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57BDC947">
            <w:pPr>
              <w:widowControl/>
              <w:snapToGrid w:val="0"/>
              <w:spacing w:line="360" w:lineRule="auto"/>
              <w:jc w:val="center"/>
              <w:outlineLvl w:val="9"/>
              <w:rPr>
                <w:rFonts w:ascii="宋体" w:hAnsi="宋体" w:cs="Arial"/>
                <w:color w:val="auto"/>
                <w:kern w:val="0"/>
                <w:sz w:val="18"/>
                <w:szCs w:val="18"/>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612291F">
            <w:pPr>
              <w:widowControl/>
              <w:snapToGrid w:val="0"/>
              <w:spacing w:line="360" w:lineRule="auto"/>
              <w:jc w:val="center"/>
              <w:outlineLvl w:val="9"/>
              <w:rPr>
                <w:rFonts w:ascii="宋体" w:hAnsi="宋体" w:cs="Arial"/>
                <w:color w:val="auto"/>
                <w:kern w:val="0"/>
                <w:sz w:val="18"/>
                <w:szCs w:val="18"/>
                <w:highlight w:val="none"/>
              </w:rPr>
            </w:pPr>
          </w:p>
        </w:tc>
      </w:tr>
      <w:tr w14:paraId="012F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113E2802">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3</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A714BAD">
            <w:pPr>
              <w:widowControl/>
              <w:snapToGrid w:val="0"/>
              <w:spacing w:line="360" w:lineRule="auto"/>
              <w:jc w:val="center"/>
              <w:outlineLvl w:val="9"/>
              <w:rPr>
                <w:rFonts w:ascii="宋体" w:hAnsi="宋体" w:cs="Arial"/>
                <w:b/>
                <w:bCs/>
                <w:color w:val="auto"/>
                <w:kern w:val="0"/>
                <w:sz w:val="18"/>
                <w:szCs w:val="18"/>
                <w:highlight w:val="none"/>
              </w:rPr>
            </w:pPr>
          </w:p>
        </w:tc>
        <w:tc>
          <w:tcPr>
            <w:tcW w:w="2533" w:type="dxa"/>
            <w:tcBorders>
              <w:top w:val="single" w:color="auto" w:sz="4" w:space="0"/>
              <w:left w:val="single" w:color="auto" w:sz="4" w:space="0"/>
              <w:bottom w:val="single" w:color="auto" w:sz="4" w:space="0"/>
              <w:right w:val="single" w:color="auto" w:sz="4" w:space="0"/>
            </w:tcBorders>
            <w:noWrap w:val="0"/>
            <w:vAlign w:val="center"/>
          </w:tcPr>
          <w:p w14:paraId="460F585B">
            <w:pPr>
              <w:widowControl/>
              <w:snapToGrid w:val="0"/>
              <w:spacing w:line="360" w:lineRule="auto"/>
              <w:jc w:val="center"/>
              <w:outlineLvl w:val="9"/>
              <w:rPr>
                <w:rFonts w:ascii="宋体" w:hAnsi="宋体" w:cs="Arial"/>
                <w:color w:val="auto"/>
                <w:kern w:val="0"/>
                <w:sz w:val="18"/>
                <w:szCs w:val="18"/>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5295ED6">
            <w:pPr>
              <w:widowControl/>
              <w:snapToGrid w:val="0"/>
              <w:spacing w:line="360" w:lineRule="auto"/>
              <w:jc w:val="center"/>
              <w:outlineLvl w:val="9"/>
              <w:rPr>
                <w:rFonts w:ascii="宋体" w:hAnsi="宋体" w:cs="Arial"/>
                <w:color w:val="auto"/>
                <w:kern w:val="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0F9593FC">
            <w:pPr>
              <w:widowControl/>
              <w:snapToGrid w:val="0"/>
              <w:spacing w:line="360" w:lineRule="auto"/>
              <w:jc w:val="center"/>
              <w:outlineLvl w:val="9"/>
              <w:rPr>
                <w:rFonts w:ascii="宋体" w:hAnsi="宋体" w:cs="Arial"/>
                <w:color w:val="auto"/>
                <w:kern w:val="0"/>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75412529">
            <w:pPr>
              <w:widowControl/>
              <w:snapToGrid w:val="0"/>
              <w:spacing w:line="360" w:lineRule="auto"/>
              <w:jc w:val="center"/>
              <w:outlineLvl w:val="9"/>
              <w:rPr>
                <w:rFonts w:ascii="宋体" w:hAnsi="宋体" w:cs="Arial"/>
                <w:color w:val="auto"/>
                <w:kern w:val="0"/>
                <w:sz w:val="18"/>
                <w:szCs w:val="18"/>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5650F10">
            <w:pPr>
              <w:widowControl/>
              <w:snapToGrid w:val="0"/>
              <w:spacing w:line="360" w:lineRule="auto"/>
              <w:jc w:val="center"/>
              <w:outlineLvl w:val="9"/>
              <w:rPr>
                <w:rFonts w:ascii="宋体" w:hAnsi="宋体" w:cs="Arial"/>
                <w:color w:val="auto"/>
                <w:kern w:val="0"/>
                <w:sz w:val="18"/>
                <w:szCs w:val="18"/>
                <w:highlight w:val="none"/>
              </w:rPr>
            </w:pPr>
          </w:p>
        </w:tc>
      </w:tr>
      <w:tr w14:paraId="7C15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285181D2">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EE7F419">
            <w:pPr>
              <w:widowControl/>
              <w:snapToGrid w:val="0"/>
              <w:spacing w:line="360" w:lineRule="auto"/>
              <w:jc w:val="center"/>
              <w:outlineLvl w:val="9"/>
              <w:rPr>
                <w:rFonts w:ascii="宋体" w:hAnsi="宋体" w:cs="Arial"/>
                <w:b/>
                <w:bCs/>
                <w:color w:val="auto"/>
                <w:kern w:val="0"/>
                <w:sz w:val="18"/>
                <w:szCs w:val="18"/>
                <w:highlight w:val="none"/>
              </w:rPr>
            </w:pPr>
          </w:p>
        </w:tc>
        <w:tc>
          <w:tcPr>
            <w:tcW w:w="2533" w:type="dxa"/>
            <w:tcBorders>
              <w:top w:val="single" w:color="auto" w:sz="4" w:space="0"/>
              <w:left w:val="single" w:color="auto" w:sz="4" w:space="0"/>
              <w:bottom w:val="single" w:color="auto" w:sz="4" w:space="0"/>
              <w:right w:val="single" w:color="auto" w:sz="4" w:space="0"/>
            </w:tcBorders>
            <w:noWrap w:val="0"/>
            <w:vAlign w:val="center"/>
          </w:tcPr>
          <w:p w14:paraId="03AF90D8">
            <w:pPr>
              <w:widowControl/>
              <w:snapToGrid w:val="0"/>
              <w:spacing w:line="360" w:lineRule="auto"/>
              <w:jc w:val="center"/>
              <w:outlineLvl w:val="9"/>
              <w:rPr>
                <w:rFonts w:ascii="宋体" w:hAnsi="宋体" w:cs="Arial"/>
                <w:color w:val="auto"/>
                <w:kern w:val="0"/>
                <w:sz w:val="18"/>
                <w:szCs w:val="18"/>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0517D8B5">
            <w:pPr>
              <w:widowControl/>
              <w:snapToGrid w:val="0"/>
              <w:spacing w:line="360" w:lineRule="auto"/>
              <w:jc w:val="center"/>
              <w:outlineLvl w:val="9"/>
              <w:rPr>
                <w:rFonts w:ascii="宋体" w:hAnsi="宋体" w:cs="Arial"/>
                <w:color w:val="auto"/>
                <w:kern w:val="0"/>
                <w:sz w:val="18"/>
                <w:szCs w:val="18"/>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3B25CC02">
            <w:pPr>
              <w:widowControl/>
              <w:snapToGrid w:val="0"/>
              <w:spacing w:line="360" w:lineRule="auto"/>
              <w:jc w:val="center"/>
              <w:outlineLvl w:val="9"/>
              <w:rPr>
                <w:rFonts w:ascii="宋体" w:hAnsi="宋体" w:cs="Arial"/>
                <w:color w:val="auto"/>
                <w:kern w:val="0"/>
                <w:sz w:val="18"/>
                <w:szCs w:val="18"/>
                <w:highlight w:val="none"/>
              </w:rPr>
            </w:pPr>
          </w:p>
        </w:tc>
        <w:tc>
          <w:tcPr>
            <w:tcW w:w="919" w:type="dxa"/>
            <w:tcBorders>
              <w:top w:val="single" w:color="auto" w:sz="4" w:space="0"/>
              <w:left w:val="single" w:color="auto" w:sz="4" w:space="0"/>
              <w:bottom w:val="single" w:color="auto" w:sz="4" w:space="0"/>
              <w:right w:val="single" w:color="auto" w:sz="4" w:space="0"/>
            </w:tcBorders>
            <w:noWrap w:val="0"/>
            <w:vAlign w:val="center"/>
          </w:tcPr>
          <w:p w14:paraId="0D491B29">
            <w:pPr>
              <w:widowControl/>
              <w:snapToGrid w:val="0"/>
              <w:spacing w:line="360" w:lineRule="auto"/>
              <w:jc w:val="center"/>
              <w:outlineLvl w:val="9"/>
              <w:rPr>
                <w:rFonts w:ascii="宋体" w:hAnsi="宋体" w:cs="Arial"/>
                <w:color w:val="auto"/>
                <w:kern w:val="0"/>
                <w:sz w:val="18"/>
                <w:szCs w:val="18"/>
                <w:highlight w:val="none"/>
              </w:rPr>
            </w:pPr>
          </w:p>
        </w:tc>
        <w:tc>
          <w:tcPr>
            <w:tcW w:w="1072" w:type="dxa"/>
            <w:tcBorders>
              <w:top w:val="single" w:color="auto" w:sz="4" w:space="0"/>
              <w:left w:val="single" w:color="auto" w:sz="4" w:space="0"/>
              <w:bottom w:val="single" w:color="auto" w:sz="4" w:space="0"/>
              <w:right w:val="single" w:color="auto" w:sz="4" w:space="0"/>
            </w:tcBorders>
            <w:noWrap w:val="0"/>
            <w:vAlign w:val="center"/>
          </w:tcPr>
          <w:p w14:paraId="4DD19C1C">
            <w:pPr>
              <w:widowControl/>
              <w:snapToGrid w:val="0"/>
              <w:spacing w:line="360" w:lineRule="auto"/>
              <w:jc w:val="center"/>
              <w:outlineLvl w:val="9"/>
              <w:rPr>
                <w:rFonts w:ascii="宋体" w:hAnsi="宋体" w:cs="Arial"/>
                <w:color w:val="auto"/>
                <w:kern w:val="0"/>
                <w:sz w:val="18"/>
                <w:szCs w:val="18"/>
                <w:highlight w:val="none"/>
              </w:rPr>
            </w:pPr>
          </w:p>
        </w:tc>
      </w:tr>
      <w:tr w14:paraId="547B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625" w:type="dxa"/>
            <w:gridSpan w:val="3"/>
            <w:tcBorders>
              <w:top w:val="single" w:color="auto" w:sz="4" w:space="0"/>
              <w:left w:val="single" w:color="auto" w:sz="4" w:space="0"/>
              <w:bottom w:val="single" w:color="auto" w:sz="4" w:space="0"/>
              <w:right w:val="single" w:color="auto" w:sz="4" w:space="0"/>
            </w:tcBorders>
            <w:noWrap w:val="0"/>
            <w:vAlign w:val="center"/>
          </w:tcPr>
          <w:p w14:paraId="0E4B3FAC">
            <w:pPr>
              <w:widowControl/>
              <w:snapToGrid w:val="0"/>
              <w:spacing w:line="360" w:lineRule="auto"/>
              <w:jc w:val="center"/>
              <w:outlineLvl w:val="9"/>
              <w:rPr>
                <w:rFonts w:ascii="宋体" w:hAnsi="宋体" w:cs="Arial"/>
                <w:color w:val="auto"/>
                <w:kern w:val="0"/>
                <w:sz w:val="18"/>
                <w:szCs w:val="18"/>
                <w:highlight w:val="none"/>
              </w:rPr>
            </w:pPr>
            <w:r>
              <w:rPr>
                <w:rFonts w:hint="eastAsia" w:ascii="宋体" w:hAnsi="宋体" w:cs="Arial"/>
                <w:color w:val="auto"/>
                <w:kern w:val="0"/>
                <w:sz w:val="18"/>
                <w:szCs w:val="18"/>
                <w:highlight w:val="none"/>
              </w:rPr>
              <w:t>总价</w:t>
            </w:r>
          </w:p>
        </w:tc>
        <w:tc>
          <w:tcPr>
            <w:tcW w:w="4025" w:type="dxa"/>
            <w:gridSpan w:val="4"/>
            <w:tcBorders>
              <w:top w:val="single" w:color="auto" w:sz="4" w:space="0"/>
              <w:left w:val="single" w:color="auto" w:sz="4" w:space="0"/>
              <w:bottom w:val="single" w:color="auto" w:sz="4" w:space="0"/>
              <w:right w:val="single" w:color="auto" w:sz="4" w:space="0"/>
            </w:tcBorders>
            <w:noWrap w:val="0"/>
            <w:vAlign w:val="center"/>
          </w:tcPr>
          <w:p w14:paraId="05519597">
            <w:pPr>
              <w:widowControl/>
              <w:snapToGrid w:val="0"/>
              <w:spacing w:line="360" w:lineRule="auto"/>
              <w:jc w:val="center"/>
              <w:outlineLvl w:val="9"/>
              <w:rPr>
                <w:rFonts w:ascii="宋体" w:hAnsi="宋体" w:cs="Arial"/>
                <w:color w:val="auto"/>
                <w:kern w:val="0"/>
                <w:sz w:val="18"/>
                <w:szCs w:val="18"/>
                <w:highlight w:val="none"/>
              </w:rPr>
            </w:pPr>
          </w:p>
        </w:tc>
      </w:tr>
    </w:tbl>
    <w:p w14:paraId="7E359D4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5DA1B53B">
      <w:pPr>
        <w:keepNext w:val="0"/>
        <w:keepLines w:val="0"/>
        <w:pageBreakBefore w:val="0"/>
        <w:widowControl w:val="0"/>
        <w:numPr>
          <w:ilvl w:val="0"/>
          <w:numId w:val="2"/>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如果不提</w:t>
      </w:r>
      <w:r>
        <w:rPr>
          <w:rFonts w:hint="eastAsia" w:ascii="宋体" w:hAnsi="宋体" w:eastAsia="宋体" w:cs="宋体"/>
          <w:color w:val="auto"/>
          <w:szCs w:val="21"/>
          <w:highlight w:val="none"/>
        </w:rPr>
        <w:t>供</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分项报价将视为没有实质性响应</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w:t>
      </w:r>
    </w:p>
    <w:p w14:paraId="2F716F5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.本表行数可以按照项目分项情况增加。</w:t>
      </w:r>
    </w:p>
    <w:p w14:paraId="01E5267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.上述各项的服务</w:t>
      </w:r>
      <w:r>
        <w:rPr>
          <w:rFonts w:hint="eastAsia" w:ascii="宋体" w:hAnsi="宋体" w:eastAsia="宋体" w:cs="宋体"/>
          <w:color w:val="auto"/>
          <w:szCs w:val="21"/>
          <w:highlight w:val="none"/>
        </w:rPr>
        <w:t>内容如表格中填写不下的，可以逐项另页描述。</w:t>
      </w:r>
    </w:p>
    <w:p w14:paraId="327349E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4.上述总价为</w:t>
      </w:r>
      <w:r>
        <w:rPr>
          <w:rFonts w:hint="eastAsia" w:ascii="宋体" w:hAnsi="宋体" w:eastAsia="宋体" w:cs="宋体"/>
          <w:color w:val="auto"/>
          <w:szCs w:val="21"/>
          <w:highlight w:val="none"/>
        </w:rPr>
        <w:t>竞争性谈判文件所确定的采购范围相应服务的提供人员（包括工资和补贴）、</w:t>
      </w:r>
      <w:r>
        <w:rPr>
          <w:rFonts w:hint="eastAsia" w:ascii="宋体" w:hAnsi="宋体" w:cs="宋体"/>
          <w:color w:val="auto"/>
          <w:szCs w:val="21"/>
          <w:highlight w:val="none"/>
          <w:lang w:eastAsia="zh-CN"/>
        </w:rPr>
        <w:t>维修和保养材料</w:t>
      </w:r>
      <w:r>
        <w:rPr>
          <w:rFonts w:hint="eastAsia" w:ascii="宋体" w:hAnsi="宋体" w:eastAsia="宋体" w:cs="宋体"/>
          <w:color w:val="auto"/>
          <w:szCs w:val="21"/>
          <w:highlight w:val="none"/>
        </w:rPr>
        <w:t>、备品备件、耗材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办公场所及设施、保险、劳保、管理、各种税费、利润、税金、政策性文件规定及合同包含的所有风险、责任等各项应</w:t>
      </w:r>
      <w:r>
        <w:rPr>
          <w:rFonts w:hint="eastAsia" w:ascii="宋体" w:hAnsi="宋体" w:eastAsia="宋体" w:cs="宋体"/>
          <w:color w:val="auto"/>
          <w:sz w:val="21"/>
          <w:szCs w:val="21"/>
          <w:highlight w:val="none"/>
        </w:rPr>
        <w:t>有费用，以及为完成该项服务项目所涉及到的一切相关费用。</w:t>
      </w:r>
    </w:p>
    <w:p w14:paraId="28D82544">
      <w:pPr>
        <w:spacing w:line="360" w:lineRule="exact"/>
        <w:rPr>
          <w:rFonts w:hint="eastAsia" w:ascii="宋体" w:hAnsi="宋体" w:cs="宋体"/>
          <w:color w:val="auto"/>
          <w:szCs w:val="21"/>
          <w:highlight w:val="none"/>
        </w:rPr>
      </w:pPr>
    </w:p>
    <w:p w14:paraId="75C2DF5F">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2996D616">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1276A505">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5F5DFC09">
      <w:pPr>
        <w:rPr>
          <w:rFonts w:hint="eastAsia" w:ascii="宋体" w:hAnsi="宋体"/>
          <w:b/>
          <w:color w:val="auto"/>
          <w:sz w:val="28"/>
          <w:szCs w:val="28"/>
          <w:highlight w:val="none"/>
        </w:rPr>
      </w:pPr>
      <w:r>
        <w:rPr>
          <w:rFonts w:hint="eastAsia" w:ascii="宋体" w:hAnsi="宋体"/>
          <w:b/>
          <w:color w:val="auto"/>
          <w:sz w:val="28"/>
          <w:szCs w:val="28"/>
          <w:highlight w:val="none"/>
        </w:rPr>
        <w:br w:type="page"/>
      </w:r>
    </w:p>
    <w:p w14:paraId="6D51CDFD">
      <w:pPr>
        <w:spacing w:line="360" w:lineRule="auto"/>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谈判分项报价表</w:t>
      </w:r>
      <w:r>
        <w:rPr>
          <w:rFonts w:hint="eastAsia" w:ascii="宋体" w:hAnsi="宋体"/>
          <w:b/>
          <w:color w:val="auto"/>
          <w:sz w:val="28"/>
          <w:szCs w:val="28"/>
          <w:highlight w:val="none"/>
          <w:lang w:eastAsia="zh-CN"/>
        </w:rPr>
        <w:t>（</w:t>
      </w:r>
      <w:r>
        <w:rPr>
          <w:rFonts w:hint="eastAsia" w:ascii="宋体" w:hAnsi="宋体"/>
          <w:b/>
          <w:color w:val="auto"/>
          <w:sz w:val="28"/>
          <w:szCs w:val="28"/>
          <w:highlight w:val="none"/>
          <w:lang w:val="en-US" w:eastAsia="zh-CN"/>
        </w:rPr>
        <w:t>货物</w:t>
      </w:r>
      <w:r>
        <w:rPr>
          <w:rFonts w:hint="eastAsia" w:ascii="宋体" w:hAnsi="宋体"/>
          <w:b/>
          <w:color w:val="auto"/>
          <w:sz w:val="28"/>
          <w:szCs w:val="28"/>
          <w:highlight w:val="none"/>
          <w:lang w:eastAsia="zh-CN"/>
        </w:rPr>
        <w:t>）</w:t>
      </w:r>
    </w:p>
    <w:p w14:paraId="4FE74887">
      <w:pPr>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793"/>
        <w:gridCol w:w="769"/>
        <w:gridCol w:w="1269"/>
        <w:gridCol w:w="1799"/>
        <w:gridCol w:w="613"/>
        <w:gridCol w:w="618"/>
        <w:gridCol w:w="919"/>
        <w:gridCol w:w="1072"/>
      </w:tblGrid>
      <w:tr w14:paraId="3461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14:paraId="3A7A3835">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序号</w:t>
            </w:r>
          </w:p>
        </w:tc>
        <w:tc>
          <w:tcPr>
            <w:tcW w:w="793" w:type="dxa"/>
            <w:vMerge w:val="restart"/>
            <w:vAlign w:val="center"/>
          </w:tcPr>
          <w:p w14:paraId="11688FF4">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lang w:val="en-US" w:eastAsia="zh-CN"/>
              </w:rPr>
              <w:t>分项</w:t>
            </w:r>
            <w:r>
              <w:rPr>
                <w:rFonts w:hint="eastAsia" w:ascii="宋体" w:hAnsi="宋体" w:cs="Arial"/>
                <w:color w:val="auto"/>
                <w:kern w:val="0"/>
                <w:szCs w:val="21"/>
                <w:highlight w:val="none"/>
              </w:rPr>
              <w:t>名称</w:t>
            </w:r>
          </w:p>
        </w:tc>
        <w:tc>
          <w:tcPr>
            <w:tcW w:w="769" w:type="dxa"/>
            <w:vMerge w:val="restart"/>
            <w:vAlign w:val="center"/>
          </w:tcPr>
          <w:p w14:paraId="4CABD9CC">
            <w:pPr>
              <w:widowControl/>
              <w:snapToGrid w:val="0"/>
              <w:spacing w:line="360" w:lineRule="auto"/>
              <w:jc w:val="center"/>
              <w:rPr>
                <w:rFonts w:hint="eastAsia" w:ascii="宋体" w:hAnsi="宋体" w:eastAsia="宋体" w:cs="Arial"/>
                <w:color w:val="auto"/>
                <w:kern w:val="0"/>
                <w:szCs w:val="21"/>
                <w:highlight w:val="none"/>
                <w:lang w:val="en-US" w:eastAsia="zh-CN"/>
              </w:rPr>
            </w:pPr>
            <w:r>
              <w:rPr>
                <w:rFonts w:hint="eastAsia" w:ascii="宋体" w:hAnsi="宋体" w:cs="Arial"/>
                <w:color w:val="auto"/>
                <w:kern w:val="0"/>
                <w:szCs w:val="21"/>
                <w:highlight w:val="none"/>
              </w:rPr>
              <w:t>品牌</w:t>
            </w:r>
            <w:r>
              <w:rPr>
                <w:rFonts w:hint="eastAsia" w:ascii="宋体" w:hAnsi="宋体" w:cs="Arial"/>
                <w:color w:val="auto"/>
                <w:kern w:val="0"/>
                <w:szCs w:val="21"/>
                <w:highlight w:val="none"/>
                <w:lang w:val="en-US" w:eastAsia="zh-CN"/>
              </w:rPr>
              <w:t>商标</w:t>
            </w:r>
          </w:p>
        </w:tc>
        <w:tc>
          <w:tcPr>
            <w:tcW w:w="1269" w:type="dxa"/>
            <w:vMerge w:val="restart"/>
            <w:vAlign w:val="center"/>
          </w:tcPr>
          <w:p w14:paraId="3E12EB65">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规格型号</w:t>
            </w:r>
          </w:p>
        </w:tc>
        <w:tc>
          <w:tcPr>
            <w:tcW w:w="1799" w:type="dxa"/>
            <w:vMerge w:val="restart"/>
            <w:vAlign w:val="center"/>
          </w:tcPr>
          <w:p w14:paraId="1062931E">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技术参数</w:t>
            </w:r>
          </w:p>
        </w:tc>
        <w:tc>
          <w:tcPr>
            <w:tcW w:w="613" w:type="dxa"/>
            <w:vMerge w:val="restart"/>
            <w:vAlign w:val="center"/>
          </w:tcPr>
          <w:p w14:paraId="582C076A">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数量</w:t>
            </w:r>
          </w:p>
        </w:tc>
        <w:tc>
          <w:tcPr>
            <w:tcW w:w="618" w:type="dxa"/>
            <w:vMerge w:val="restart"/>
            <w:vAlign w:val="center"/>
          </w:tcPr>
          <w:p w14:paraId="0746054A">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单位</w:t>
            </w:r>
          </w:p>
        </w:tc>
        <w:tc>
          <w:tcPr>
            <w:tcW w:w="1991" w:type="dxa"/>
            <w:gridSpan w:val="2"/>
            <w:vAlign w:val="center"/>
          </w:tcPr>
          <w:p w14:paraId="0E779B60">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 w:val="18"/>
                <w:szCs w:val="18"/>
                <w:highlight w:val="none"/>
                <w:lang w:val="en-US" w:eastAsia="zh-CN"/>
              </w:rPr>
              <w:t>响应</w:t>
            </w:r>
            <w:r>
              <w:rPr>
                <w:rFonts w:hint="eastAsia" w:ascii="宋体" w:hAnsi="宋体" w:cs="Arial"/>
                <w:color w:val="auto"/>
                <w:kern w:val="0"/>
                <w:szCs w:val="21"/>
                <w:highlight w:val="none"/>
              </w:rPr>
              <w:t>价格（元）</w:t>
            </w:r>
          </w:p>
        </w:tc>
      </w:tr>
      <w:tr w14:paraId="3A8F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14:paraId="544122B5">
            <w:pPr>
              <w:widowControl/>
              <w:snapToGrid w:val="0"/>
              <w:spacing w:line="360" w:lineRule="auto"/>
              <w:jc w:val="center"/>
              <w:rPr>
                <w:rFonts w:ascii="宋体" w:hAnsi="宋体" w:cs="Arial"/>
                <w:color w:val="auto"/>
                <w:kern w:val="0"/>
                <w:szCs w:val="21"/>
                <w:highlight w:val="none"/>
              </w:rPr>
            </w:pPr>
          </w:p>
        </w:tc>
        <w:tc>
          <w:tcPr>
            <w:tcW w:w="793" w:type="dxa"/>
            <w:vMerge w:val="continue"/>
            <w:vAlign w:val="center"/>
          </w:tcPr>
          <w:p w14:paraId="69A37B28">
            <w:pPr>
              <w:widowControl/>
              <w:snapToGrid w:val="0"/>
              <w:spacing w:line="360" w:lineRule="auto"/>
              <w:jc w:val="center"/>
              <w:rPr>
                <w:rFonts w:ascii="宋体" w:hAnsi="宋体" w:cs="Arial"/>
                <w:color w:val="auto"/>
                <w:kern w:val="0"/>
                <w:szCs w:val="21"/>
                <w:highlight w:val="none"/>
              </w:rPr>
            </w:pPr>
          </w:p>
        </w:tc>
        <w:tc>
          <w:tcPr>
            <w:tcW w:w="769" w:type="dxa"/>
            <w:vMerge w:val="continue"/>
            <w:vAlign w:val="center"/>
          </w:tcPr>
          <w:p w14:paraId="424BAD5B">
            <w:pPr>
              <w:widowControl/>
              <w:snapToGrid w:val="0"/>
              <w:spacing w:line="360" w:lineRule="auto"/>
              <w:jc w:val="center"/>
              <w:rPr>
                <w:rFonts w:ascii="宋体" w:hAnsi="宋体" w:cs="Arial"/>
                <w:color w:val="auto"/>
                <w:kern w:val="0"/>
                <w:szCs w:val="21"/>
                <w:highlight w:val="none"/>
              </w:rPr>
            </w:pPr>
          </w:p>
        </w:tc>
        <w:tc>
          <w:tcPr>
            <w:tcW w:w="1269" w:type="dxa"/>
            <w:vMerge w:val="continue"/>
            <w:vAlign w:val="center"/>
          </w:tcPr>
          <w:p w14:paraId="26C97C15">
            <w:pPr>
              <w:widowControl/>
              <w:snapToGrid w:val="0"/>
              <w:spacing w:line="360" w:lineRule="auto"/>
              <w:jc w:val="center"/>
              <w:rPr>
                <w:rFonts w:ascii="宋体" w:hAnsi="宋体" w:cs="Arial"/>
                <w:color w:val="auto"/>
                <w:kern w:val="0"/>
                <w:szCs w:val="21"/>
                <w:highlight w:val="none"/>
              </w:rPr>
            </w:pPr>
          </w:p>
        </w:tc>
        <w:tc>
          <w:tcPr>
            <w:tcW w:w="1799" w:type="dxa"/>
            <w:vMerge w:val="continue"/>
            <w:vAlign w:val="center"/>
          </w:tcPr>
          <w:p w14:paraId="6FD978D5">
            <w:pPr>
              <w:widowControl/>
              <w:snapToGrid w:val="0"/>
              <w:spacing w:line="360" w:lineRule="auto"/>
              <w:jc w:val="center"/>
              <w:rPr>
                <w:rFonts w:ascii="宋体" w:hAnsi="宋体" w:cs="Arial"/>
                <w:color w:val="auto"/>
                <w:kern w:val="0"/>
                <w:szCs w:val="21"/>
                <w:highlight w:val="none"/>
              </w:rPr>
            </w:pPr>
          </w:p>
        </w:tc>
        <w:tc>
          <w:tcPr>
            <w:tcW w:w="613" w:type="dxa"/>
            <w:vMerge w:val="continue"/>
            <w:vAlign w:val="center"/>
          </w:tcPr>
          <w:p w14:paraId="06046F5C">
            <w:pPr>
              <w:widowControl/>
              <w:snapToGrid w:val="0"/>
              <w:spacing w:line="360" w:lineRule="auto"/>
              <w:jc w:val="center"/>
              <w:rPr>
                <w:rFonts w:ascii="宋体" w:hAnsi="宋体" w:cs="Arial"/>
                <w:color w:val="auto"/>
                <w:kern w:val="0"/>
                <w:szCs w:val="21"/>
                <w:highlight w:val="none"/>
              </w:rPr>
            </w:pPr>
          </w:p>
        </w:tc>
        <w:tc>
          <w:tcPr>
            <w:tcW w:w="618" w:type="dxa"/>
            <w:vMerge w:val="continue"/>
            <w:vAlign w:val="center"/>
          </w:tcPr>
          <w:p w14:paraId="0FF21223">
            <w:pPr>
              <w:widowControl/>
              <w:snapToGrid w:val="0"/>
              <w:spacing w:line="360" w:lineRule="auto"/>
              <w:jc w:val="center"/>
              <w:rPr>
                <w:rFonts w:ascii="宋体" w:hAnsi="宋体" w:cs="Arial"/>
                <w:color w:val="auto"/>
                <w:kern w:val="0"/>
                <w:szCs w:val="21"/>
                <w:highlight w:val="none"/>
              </w:rPr>
            </w:pPr>
          </w:p>
        </w:tc>
        <w:tc>
          <w:tcPr>
            <w:tcW w:w="919" w:type="dxa"/>
            <w:vAlign w:val="center"/>
          </w:tcPr>
          <w:p w14:paraId="6A0E9BB6">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单价</w:t>
            </w:r>
          </w:p>
        </w:tc>
        <w:tc>
          <w:tcPr>
            <w:tcW w:w="1072" w:type="dxa"/>
            <w:vAlign w:val="center"/>
          </w:tcPr>
          <w:p w14:paraId="0AD7D0A4">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合价</w:t>
            </w:r>
          </w:p>
        </w:tc>
      </w:tr>
      <w:tr w14:paraId="171C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1DD36BD8">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1</w:t>
            </w:r>
          </w:p>
        </w:tc>
        <w:tc>
          <w:tcPr>
            <w:tcW w:w="793" w:type="dxa"/>
            <w:vAlign w:val="center"/>
          </w:tcPr>
          <w:p w14:paraId="201D258A">
            <w:pPr>
              <w:widowControl/>
              <w:snapToGrid w:val="0"/>
              <w:spacing w:line="360" w:lineRule="auto"/>
              <w:jc w:val="center"/>
              <w:rPr>
                <w:rFonts w:ascii="宋体" w:hAnsi="宋体" w:cs="Arial"/>
                <w:b/>
                <w:bCs/>
                <w:color w:val="auto"/>
                <w:kern w:val="0"/>
                <w:szCs w:val="21"/>
                <w:highlight w:val="none"/>
              </w:rPr>
            </w:pPr>
          </w:p>
        </w:tc>
        <w:tc>
          <w:tcPr>
            <w:tcW w:w="769" w:type="dxa"/>
            <w:vAlign w:val="center"/>
          </w:tcPr>
          <w:p w14:paraId="5C0F49D5">
            <w:pPr>
              <w:widowControl/>
              <w:snapToGrid w:val="0"/>
              <w:spacing w:line="360" w:lineRule="auto"/>
              <w:jc w:val="center"/>
              <w:rPr>
                <w:rFonts w:ascii="宋体" w:hAnsi="宋体" w:cs="Arial"/>
                <w:color w:val="auto"/>
                <w:kern w:val="0"/>
                <w:szCs w:val="21"/>
                <w:highlight w:val="none"/>
              </w:rPr>
            </w:pPr>
          </w:p>
        </w:tc>
        <w:tc>
          <w:tcPr>
            <w:tcW w:w="1269" w:type="dxa"/>
            <w:vAlign w:val="center"/>
          </w:tcPr>
          <w:p w14:paraId="5CA056AF">
            <w:pPr>
              <w:widowControl/>
              <w:snapToGrid w:val="0"/>
              <w:spacing w:line="360" w:lineRule="auto"/>
              <w:jc w:val="center"/>
              <w:rPr>
                <w:rFonts w:ascii="宋体" w:hAnsi="宋体" w:cs="Arial"/>
                <w:color w:val="auto"/>
                <w:kern w:val="0"/>
                <w:szCs w:val="21"/>
                <w:highlight w:val="none"/>
              </w:rPr>
            </w:pPr>
          </w:p>
        </w:tc>
        <w:tc>
          <w:tcPr>
            <w:tcW w:w="1799" w:type="dxa"/>
            <w:vAlign w:val="center"/>
          </w:tcPr>
          <w:p w14:paraId="4645ABA2">
            <w:pPr>
              <w:widowControl/>
              <w:snapToGrid w:val="0"/>
              <w:spacing w:line="360" w:lineRule="auto"/>
              <w:jc w:val="center"/>
              <w:rPr>
                <w:rFonts w:ascii="宋体" w:hAnsi="宋体" w:cs="Arial"/>
                <w:color w:val="auto"/>
                <w:kern w:val="0"/>
                <w:szCs w:val="21"/>
                <w:highlight w:val="none"/>
              </w:rPr>
            </w:pPr>
          </w:p>
        </w:tc>
        <w:tc>
          <w:tcPr>
            <w:tcW w:w="613" w:type="dxa"/>
            <w:vAlign w:val="center"/>
          </w:tcPr>
          <w:p w14:paraId="062FACF8">
            <w:pPr>
              <w:widowControl/>
              <w:snapToGrid w:val="0"/>
              <w:spacing w:line="360" w:lineRule="auto"/>
              <w:jc w:val="center"/>
              <w:rPr>
                <w:rFonts w:ascii="宋体" w:hAnsi="宋体" w:cs="Arial"/>
                <w:color w:val="auto"/>
                <w:kern w:val="0"/>
                <w:szCs w:val="21"/>
                <w:highlight w:val="none"/>
              </w:rPr>
            </w:pPr>
          </w:p>
        </w:tc>
        <w:tc>
          <w:tcPr>
            <w:tcW w:w="618" w:type="dxa"/>
            <w:vAlign w:val="center"/>
          </w:tcPr>
          <w:p w14:paraId="6EA17877">
            <w:pPr>
              <w:widowControl/>
              <w:snapToGrid w:val="0"/>
              <w:spacing w:line="360" w:lineRule="auto"/>
              <w:jc w:val="center"/>
              <w:rPr>
                <w:rFonts w:ascii="宋体" w:hAnsi="宋体" w:cs="Arial"/>
                <w:color w:val="auto"/>
                <w:kern w:val="0"/>
                <w:szCs w:val="21"/>
                <w:highlight w:val="none"/>
              </w:rPr>
            </w:pPr>
          </w:p>
        </w:tc>
        <w:tc>
          <w:tcPr>
            <w:tcW w:w="919" w:type="dxa"/>
            <w:vAlign w:val="center"/>
          </w:tcPr>
          <w:p w14:paraId="35BE99C9">
            <w:pPr>
              <w:widowControl/>
              <w:snapToGrid w:val="0"/>
              <w:spacing w:line="360" w:lineRule="auto"/>
              <w:jc w:val="center"/>
              <w:rPr>
                <w:rFonts w:ascii="宋体" w:hAnsi="宋体" w:cs="Arial"/>
                <w:color w:val="auto"/>
                <w:kern w:val="0"/>
                <w:szCs w:val="21"/>
                <w:highlight w:val="none"/>
              </w:rPr>
            </w:pPr>
          </w:p>
        </w:tc>
        <w:tc>
          <w:tcPr>
            <w:tcW w:w="1072" w:type="dxa"/>
            <w:vAlign w:val="center"/>
          </w:tcPr>
          <w:p w14:paraId="6C503BA9">
            <w:pPr>
              <w:widowControl/>
              <w:snapToGrid w:val="0"/>
              <w:spacing w:line="360" w:lineRule="auto"/>
              <w:jc w:val="center"/>
              <w:rPr>
                <w:rFonts w:ascii="宋体" w:hAnsi="宋体" w:cs="Arial"/>
                <w:color w:val="auto"/>
                <w:kern w:val="0"/>
                <w:szCs w:val="21"/>
                <w:highlight w:val="none"/>
              </w:rPr>
            </w:pPr>
          </w:p>
        </w:tc>
      </w:tr>
      <w:tr w14:paraId="59DD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21C88334">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2</w:t>
            </w:r>
          </w:p>
        </w:tc>
        <w:tc>
          <w:tcPr>
            <w:tcW w:w="793" w:type="dxa"/>
            <w:vAlign w:val="center"/>
          </w:tcPr>
          <w:p w14:paraId="2195E725">
            <w:pPr>
              <w:widowControl/>
              <w:snapToGrid w:val="0"/>
              <w:spacing w:line="360" w:lineRule="auto"/>
              <w:jc w:val="center"/>
              <w:rPr>
                <w:rFonts w:ascii="宋体" w:hAnsi="宋体" w:cs="Arial"/>
                <w:b/>
                <w:bCs/>
                <w:color w:val="auto"/>
                <w:kern w:val="0"/>
                <w:szCs w:val="21"/>
                <w:highlight w:val="none"/>
              </w:rPr>
            </w:pPr>
          </w:p>
        </w:tc>
        <w:tc>
          <w:tcPr>
            <w:tcW w:w="769" w:type="dxa"/>
            <w:vAlign w:val="center"/>
          </w:tcPr>
          <w:p w14:paraId="74636E3A">
            <w:pPr>
              <w:widowControl/>
              <w:snapToGrid w:val="0"/>
              <w:spacing w:line="360" w:lineRule="auto"/>
              <w:jc w:val="center"/>
              <w:rPr>
                <w:rFonts w:ascii="宋体" w:hAnsi="宋体" w:cs="Arial"/>
                <w:color w:val="auto"/>
                <w:kern w:val="0"/>
                <w:szCs w:val="21"/>
                <w:highlight w:val="none"/>
              </w:rPr>
            </w:pPr>
          </w:p>
        </w:tc>
        <w:tc>
          <w:tcPr>
            <w:tcW w:w="1269" w:type="dxa"/>
            <w:vAlign w:val="center"/>
          </w:tcPr>
          <w:p w14:paraId="259FDA09">
            <w:pPr>
              <w:widowControl/>
              <w:snapToGrid w:val="0"/>
              <w:spacing w:line="360" w:lineRule="auto"/>
              <w:jc w:val="center"/>
              <w:rPr>
                <w:rFonts w:ascii="宋体" w:hAnsi="宋体" w:cs="Arial"/>
                <w:color w:val="auto"/>
                <w:kern w:val="0"/>
                <w:szCs w:val="21"/>
                <w:highlight w:val="none"/>
              </w:rPr>
            </w:pPr>
          </w:p>
        </w:tc>
        <w:tc>
          <w:tcPr>
            <w:tcW w:w="1799" w:type="dxa"/>
            <w:vAlign w:val="center"/>
          </w:tcPr>
          <w:p w14:paraId="1FF40702">
            <w:pPr>
              <w:widowControl/>
              <w:snapToGrid w:val="0"/>
              <w:spacing w:line="360" w:lineRule="auto"/>
              <w:jc w:val="center"/>
              <w:rPr>
                <w:rFonts w:ascii="宋体" w:hAnsi="宋体" w:cs="Arial"/>
                <w:color w:val="auto"/>
                <w:kern w:val="0"/>
                <w:szCs w:val="21"/>
                <w:highlight w:val="none"/>
              </w:rPr>
            </w:pPr>
          </w:p>
        </w:tc>
        <w:tc>
          <w:tcPr>
            <w:tcW w:w="613" w:type="dxa"/>
            <w:vAlign w:val="center"/>
          </w:tcPr>
          <w:p w14:paraId="3910178B">
            <w:pPr>
              <w:widowControl/>
              <w:snapToGrid w:val="0"/>
              <w:spacing w:line="360" w:lineRule="auto"/>
              <w:jc w:val="center"/>
              <w:rPr>
                <w:rFonts w:ascii="宋体" w:hAnsi="宋体" w:cs="Arial"/>
                <w:color w:val="auto"/>
                <w:kern w:val="0"/>
                <w:szCs w:val="21"/>
                <w:highlight w:val="none"/>
              </w:rPr>
            </w:pPr>
          </w:p>
        </w:tc>
        <w:tc>
          <w:tcPr>
            <w:tcW w:w="618" w:type="dxa"/>
            <w:vAlign w:val="center"/>
          </w:tcPr>
          <w:p w14:paraId="0C6EE5B3">
            <w:pPr>
              <w:widowControl/>
              <w:snapToGrid w:val="0"/>
              <w:spacing w:line="360" w:lineRule="auto"/>
              <w:jc w:val="center"/>
              <w:rPr>
                <w:rFonts w:ascii="宋体" w:hAnsi="宋体" w:cs="Arial"/>
                <w:color w:val="auto"/>
                <w:kern w:val="0"/>
                <w:szCs w:val="21"/>
                <w:highlight w:val="none"/>
              </w:rPr>
            </w:pPr>
          </w:p>
        </w:tc>
        <w:tc>
          <w:tcPr>
            <w:tcW w:w="919" w:type="dxa"/>
            <w:vAlign w:val="center"/>
          </w:tcPr>
          <w:p w14:paraId="40F9FCFF">
            <w:pPr>
              <w:widowControl/>
              <w:snapToGrid w:val="0"/>
              <w:spacing w:line="360" w:lineRule="auto"/>
              <w:jc w:val="center"/>
              <w:rPr>
                <w:rFonts w:ascii="宋体" w:hAnsi="宋体" w:cs="Arial"/>
                <w:color w:val="auto"/>
                <w:kern w:val="0"/>
                <w:szCs w:val="21"/>
                <w:highlight w:val="none"/>
              </w:rPr>
            </w:pPr>
          </w:p>
        </w:tc>
        <w:tc>
          <w:tcPr>
            <w:tcW w:w="1072" w:type="dxa"/>
            <w:vAlign w:val="center"/>
          </w:tcPr>
          <w:p w14:paraId="6E8A83FF">
            <w:pPr>
              <w:widowControl/>
              <w:snapToGrid w:val="0"/>
              <w:spacing w:line="360" w:lineRule="auto"/>
              <w:jc w:val="center"/>
              <w:rPr>
                <w:rFonts w:ascii="宋体" w:hAnsi="宋体" w:cs="Arial"/>
                <w:color w:val="auto"/>
                <w:kern w:val="0"/>
                <w:szCs w:val="21"/>
                <w:highlight w:val="none"/>
              </w:rPr>
            </w:pPr>
          </w:p>
        </w:tc>
      </w:tr>
      <w:tr w14:paraId="5EC2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786D93A3">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3</w:t>
            </w:r>
          </w:p>
        </w:tc>
        <w:tc>
          <w:tcPr>
            <w:tcW w:w="793" w:type="dxa"/>
            <w:vAlign w:val="center"/>
          </w:tcPr>
          <w:p w14:paraId="691289B0">
            <w:pPr>
              <w:widowControl/>
              <w:snapToGrid w:val="0"/>
              <w:spacing w:line="360" w:lineRule="auto"/>
              <w:jc w:val="center"/>
              <w:rPr>
                <w:rFonts w:ascii="宋体" w:hAnsi="宋体" w:cs="Arial"/>
                <w:b/>
                <w:bCs/>
                <w:color w:val="auto"/>
                <w:kern w:val="0"/>
                <w:szCs w:val="21"/>
                <w:highlight w:val="none"/>
              </w:rPr>
            </w:pPr>
          </w:p>
        </w:tc>
        <w:tc>
          <w:tcPr>
            <w:tcW w:w="769" w:type="dxa"/>
            <w:vAlign w:val="center"/>
          </w:tcPr>
          <w:p w14:paraId="36A941FF">
            <w:pPr>
              <w:widowControl/>
              <w:snapToGrid w:val="0"/>
              <w:spacing w:line="360" w:lineRule="auto"/>
              <w:jc w:val="center"/>
              <w:rPr>
                <w:rFonts w:ascii="宋体" w:hAnsi="宋体" w:cs="Arial"/>
                <w:color w:val="auto"/>
                <w:kern w:val="0"/>
                <w:szCs w:val="21"/>
                <w:highlight w:val="none"/>
              </w:rPr>
            </w:pPr>
          </w:p>
        </w:tc>
        <w:tc>
          <w:tcPr>
            <w:tcW w:w="1269" w:type="dxa"/>
            <w:vAlign w:val="center"/>
          </w:tcPr>
          <w:p w14:paraId="338770C0">
            <w:pPr>
              <w:widowControl/>
              <w:snapToGrid w:val="0"/>
              <w:spacing w:line="360" w:lineRule="auto"/>
              <w:jc w:val="center"/>
              <w:rPr>
                <w:rFonts w:ascii="宋体" w:hAnsi="宋体" w:cs="Arial"/>
                <w:color w:val="auto"/>
                <w:kern w:val="0"/>
                <w:szCs w:val="21"/>
                <w:highlight w:val="none"/>
              </w:rPr>
            </w:pPr>
          </w:p>
        </w:tc>
        <w:tc>
          <w:tcPr>
            <w:tcW w:w="1799" w:type="dxa"/>
            <w:vAlign w:val="center"/>
          </w:tcPr>
          <w:p w14:paraId="5FCF729E">
            <w:pPr>
              <w:widowControl/>
              <w:snapToGrid w:val="0"/>
              <w:spacing w:line="360" w:lineRule="auto"/>
              <w:jc w:val="center"/>
              <w:rPr>
                <w:rFonts w:ascii="宋体" w:hAnsi="宋体" w:cs="Arial"/>
                <w:color w:val="auto"/>
                <w:kern w:val="0"/>
                <w:szCs w:val="21"/>
                <w:highlight w:val="none"/>
              </w:rPr>
            </w:pPr>
          </w:p>
        </w:tc>
        <w:tc>
          <w:tcPr>
            <w:tcW w:w="613" w:type="dxa"/>
            <w:vAlign w:val="center"/>
          </w:tcPr>
          <w:p w14:paraId="24E482A2">
            <w:pPr>
              <w:widowControl/>
              <w:snapToGrid w:val="0"/>
              <w:spacing w:line="360" w:lineRule="auto"/>
              <w:jc w:val="center"/>
              <w:rPr>
                <w:rFonts w:ascii="宋体" w:hAnsi="宋体" w:cs="Arial"/>
                <w:color w:val="auto"/>
                <w:kern w:val="0"/>
                <w:szCs w:val="21"/>
                <w:highlight w:val="none"/>
              </w:rPr>
            </w:pPr>
          </w:p>
        </w:tc>
        <w:tc>
          <w:tcPr>
            <w:tcW w:w="618" w:type="dxa"/>
            <w:vAlign w:val="center"/>
          </w:tcPr>
          <w:p w14:paraId="08285884">
            <w:pPr>
              <w:widowControl/>
              <w:snapToGrid w:val="0"/>
              <w:spacing w:line="360" w:lineRule="auto"/>
              <w:jc w:val="center"/>
              <w:rPr>
                <w:rFonts w:ascii="宋体" w:hAnsi="宋体" w:cs="Arial"/>
                <w:color w:val="auto"/>
                <w:kern w:val="0"/>
                <w:szCs w:val="21"/>
                <w:highlight w:val="none"/>
              </w:rPr>
            </w:pPr>
          </w:p>
        </w:tc>
        <w:tc>
          <w:tcPr>
            <w:tcW w:w="919" w:type="dxa"/>
            <w:vAlign w:val="center"/>
          </w:tcPr>
          <w:p w14:paraId="32B01686">
            <w:pPr>
              <w:widowControl/>
              <w:snapToGrid w:val="0"/>
              <w:spacing w:line="360" w:lineRule="auto"/>
              <w:jc w:val="center"/>
              <w:rPr>
                <w:rFonts w:ascii="宋体" w:hAnsi="宋体" w:cs="Arial"/>
                <w:color w:val="auto"/>
                <w:kern w:val="0"/>
                <w:szCs w:val="21"/>
                <w:highlight w:val="none"/>
              </w:rPr>
            </w:pPr>
          </w:p>
        </w:tc>
        <w:tc>
          <w:tcPr>
            <w:tcW w:w="1072" w:type="dxa"/>
            <w:vAlign w:val="center"/>
          </w:tcPr>
          <w:p w14:paraId="46854B69">
            <w:pPr>
              <w:widowControl/>
              <w:snapToGrid w:val="0"/>
              <w:spacing w:line="360" w:lineRule="auto"/>
              <w:jc w:val="center"/>
              <w:rPr>
                <w:rFonts w:ascii="宋体" w:hAnsi="宋体" w:cs="Arial"/>
                <w:color w:val="auto"/>
                <w:kern w:val="0"/>
                <w:szCs w:val="21"/>
                <w:highlight w:val="none"/>
              </w:rPr>
            </w:pPr>
          </w:p>
        </w:tc>
      </w:tr>
      <w:tr w14:paraId="3C881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14:paraId="13058E63">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w:t>
            </w:r>
          </w:p>
        </w:tc>
        <w:tc>
          <w:tcPr>
            <w:tcW w:w="793" w:type="dxa"/>
            <w:vAlign w:val="center"/>
          </w:tcPr>
          <w:p w14:paraId="0CF9482A">
            <w:pPr>
              <w:widowControl/>
              <w:snapToGrid w:val="0"/>
              <w:spacing w:line="360" w:lineRule="auto"/>
              <w:jc w:val="center"/>
              <w:rPr>
                <w:rFonts w:ascii="宋体" w:hAnsi="宋体" w:cs="Arial"/>
                <w:b/>
                <w:bCs/>
                <w:color w:val="auto"/>
                <w:kern w:val="0"/>
                <w:szCs w:val="21"/>
                <w:highlight w:val="none"/>
              </w:rPr>
            </w:pPr>
          </w:p>
        </w:tc>
        <w:tc>
          <w:tcPr>
            <w:tcW w:w="769" w:type="dxa"/>
            <w:vAlign w:val="center"/>
          </w:tcPr>
          <w:p w14:paraId="1350C9FD">
            <w:pPr>
              <w:widowControl/>
              <w:snapToGrid w:val="0"/>
              <w:spacing w:line="360" w:lineRule="auto"/>
              <w:jc w:val="center"/>
              <w:rPr>
                <w:rFonts w:ascii="宋体" w:hAnsi="宋体" w:cs="Arial"/>
                <w:color w:val="auto"/>
                <w:kern w:val="0"/>
                <w:szCs w:val="21"/>
                <w:highlight w:val="none"/>
              </w:rPr>
            </w:pPr>
          </w:p>
        </w:tc>
        <w:tc>
          <w:tcPr>
            <w:tcW w:w="1269" w:type="dxa"/>
            <w:vAlign w:val="center"/>
          </w:tcPr>
          <w:p w14:paraId="34E09349">
            <w:pPr>
              <w:widowControl/>
              <w:snapToGrid w:val="0"/>
              <w:spacing w:line="360" w:lineRule="auto"/>
              <w:jc w:val="center"/>
              <w:rPr>
                <w:rFonts w:ascii="宋体" w:hAnsi="宋体" w:cs="Arial"/>
                <w:color w:val="auto"/>
                <w:kern w:val="0"/>
                <w:szCs w:val="21"/>
                <w:highlight w:val="none"/>
              </w:rPr>
            </w:pPr>
          </w:p>
        </w:tc>
        <w:tc>
          <w:tcPr>
            <w:tcW w:w="1799" w:type="dxa"/>
            <w:vAlign w:val="center"/>
          </w:tcPr>
          <w:p w14:paraId="23204938">
            <w:pPr>
              <w:widowControl/>
              <w:snapToGrid w:val="0"/>
              <w:spacing w:line="360" w:lineRule="auto"/>
              <w:jc w:val="center"/>
              <w:rPr>
                <w:rFonts w:ascii="宋体" w:hAnsi="宋体" w:cs="Arial"/>
                <w:color w:val="auto"/>
                <w:kern w:val="0"/>
                <w:szCs w:val="21"/>
                <w:highlight w:val="none"/>
              </w:rPr>
            </w:pPr>
          </w:p>
        </w:tc>
        <w:tc>
          <w:tcPr>
            <w:tcW w:w="613" w:type="dxa"/>
            <w:vAlign w:val="center"/>
          </w:tcPr>
          <w:p w14:paraId="47C5EFBD">
            <w:pPr>
              <w:widowControl/>
              <w:snapToGrid w:val="0"/>
              <w:spacing w:line="360" w:lineRule="auto"/>
              <w:jc w:val="center"/>
              <w:rPr>
                <w:rFonts w:ascii="宋体" w:hAnsi="宋体" w:cs="Arial"/>
                <w:color w:val="auto"/>
                <w:kern w:val="0"/>
                <w:szCs w:val="21"/>
                <w:highlight w:val="none"/>
              </w:rPr>
            </w:pPr>
          </w:p>
        </w:tc>
        <w:tc>
          <w:tcPr>
            <w:tcW w:w="618" w:type="dxa"/>
            <w:vAlign w:val="center"/>
          </w:tcPr>
          <w:p w14:paraId="62EECABE">
            <w:pPr>
              <w:widowControl/>
              <w:snapToGrid w:val="0"/>
              <w:spacing w:line="360" w:lineRule="auto"/>
              <w:jc w:val="center"/>
              <w:rPr>
                <w:rFonts w:ascii="宋体" w:hAnsi="宋体" w:cs="Arial"/>
                <w:color w:val="auto"/>
                <w:kern w:val="0"/>
                <w:szCs w:val="21"/>
                <w:highlight w:val="none"/>
              </w:rPr>
            </w:pPr>
          </w:p>
        </w:tc>
        <w:tc>
          <w:tcPr>
            <w:tcW w:w="919" w:type="dxa"/>
            <w:vAlign w:val="center"/>
          </w:tcPr>
          <w:p w14:paraId="49DBEA72">
            <w:pPr>
              <w:widowControl/>
              <w:snapToGrid w:val="0"/>
              <w:spacing w:line="360" w:lineRule="auto"/>
              <w:jc w:val="center"/>
              <w:rPr>
                <w:rFonts w:ascii="宋体" w:hAnsi="宋体" w:cs="Arial"/>
                <w:color w:val="auto"/>
                <w:kern w:val="0"/>
                <w:szCs w:val="21"/>
                <w:highlight w:val="none"/>
              </w:rPr>
            </w:pPr>
          </w:p>
        </w:tc>
        <w:tc>
          <w:tcPr>
            <w:tcW w:w="1072" w:type="dxa"/>
            <w:vAlign w:val="center"/>
          </w:tcPr>
          <w:p w14:paraId="2A33C382">
            <w:pPr>
              <w:widowControl/>
              <w:snapToGrid w:val="0"/>
              <w:spacing w:line="360" w:lineRule="auto"/>
              <w:jc w:val="center"/>
              <w:rPr>
                <w:rFonts w:ascii="宋体" w:hAnsi="宋体" w:cs="Arial"/>
                <w:color w:val="auto"/>
                <w:kern w:val="0"/>
                <w:szCs w:val="21"/>
                <w:highlight w:val="none"/>
              </w:rPr>
            </w:pPr>
          </w:p>
        </w:tc>
      </w:tr>
      <w:tr w14:paraId="144F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14:paraId="0E9548BA">
            <w:pPr>
              <w:widowControl/>
              <w:snapToGrid w:val="0"/>
              <w:spacing w:line="360" w:lineRule="auto"/>
              <w:jc w:val="center"/>
              <w:rPr>
                <w:rFonts w:ascii="宋体" w:hAnsi="宋体" w:cs="Arial"/>
                <w:color w:val="auto"/>
                <w:kern w:val="0"/>
                <w:szCs w:val="21"/>
                <w:highlight w:val="none"/>
              </w:rPr>
            </w:pPr>
            <w:r>
              <w:rPr>
                <w:rFonts w:hint="eastAsia" w:ascii="宋体" w:hAnsi="宋体" w:cs="Arial"/>
                <w:color w:val="auto"/>
                <w:kern w:val="0"/>
                <w:szCs w:val="21"/>
                <w:highlight w:val="none"/>
              </w:rPr>
              <w:t>合     计</w:t>
            </w:r>
          </w:p>
        </w:tc>
        <w:tc>
          <w:tcPr>
            <w:tcW w:w="919" w:type="dxa"/>
            <w:vAlign w:val="center"/>
          </w:tcPr>
          <w:p w14:paraId="4C10768E">
            <w:pPr>
              <w:widowControl/>
              <w:snapToGrid w:val="0"/>
              <w:spacing w:line="360" w:lineRule="auto"/>
              <w:jc w:val="center"/>
              <w:rPr>
                <w:rFonts w:ascii="宋体" w:hAnsi="宋体" w:cs="Arial"/>
                <w:color w:val="auto"/>
                <w:kern w:val="0"/>
                <w:szCs w:val="21"/>
                <w:highlight w:val="none"/>
              </w:rPr>
            </w:pPr>
          </w:p>
        </w:tc>
        <w:tc>
          <w:tcPr>
            <w:tcW w:w="1072" w:type="dxa"/>
            <w:vAlign w:val="center"/>
          </w:tcPr>
          <w:p w14:paraId="2B940F42">
            <w:pPr>
              <w:widowControl/>
              <w:snapToGrid w:val="0"/>
              <w:spacing w:line="360" w:lineRule="auto"/>
              <w:jc w:val="center"/>
              <w:rPr>
                <w:rFonts w:ascii="宋体" w:hAnsi="宋体" w:cs="Arial"/>
                <w:color w:val="auto"/>
                <w:kern w:val="0"/>
                <w:szCs w:val="21"/>
                <w:highlight w:val="none"/>
              </w:rPr>
            </w:pPr>
          </w:p>
        </w:tc>
      </w:tr>
      <w:tr w14:paraId="51D1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522" w:type="dxa"/>
            <w:gridSpan w:val="9"/>
            <w:vAlign w:val="center"/>
          </w:tcPr>
          <w:p w14:paraId="00974A74">
            <w:pPr>
              <w:widowControl/>
              <w:snapToGrid w:val="0"/>
              <w:spacing w:line="360" w:lineRule="auto"/>
              <w:jc w:val="left"/>
              <w:rPr>
                <w:rFonts w:ascii="宋体" w:hAnsi="宋体" w:cs="Arial"/>
                <w:color w:val="auto"/>
                <w:kern w:val="0"/>
                <w:szCs w:val="21"/>
                <w:highlight w:val="none"/>
              </w:rPr>
            </w:pPr>
            <w:r>
              <w:rPr>
                <w:rFonts w:hint="eastAsia" w:ascii="宋体" w:hAnsi="宋体" w:eastAsia="宋体" w:cs="Arial"/>
                <w:b/>
                <w:bCs/>
                <w:color w:val="auto"/>
                <w:kern w:val="0"/>
                <w:szCs w:val="21"/>
                <w:highlight w:val="none"/>
                <w:lang w:val="en-US" w:eastAsia="zh-CN"/>
              </w:rPr>
              <w:t>注：</w:t>
            </w:r>
            <w:r>
              <w:rPr>
                <w:rFonts w:hint="eastAsia" w:ascii="宋体" w:hAnsi="宋体" w:eastAsia="宋体" w:cs="Arial"/>
                <w:b/>
                <w:bCs/>
                <w:color w:val="auto"/>
                <w:kern w:val="0"/>
                <w:szCs w:val="21"/>
                <w:highlight w:val="none"/>
              </w:rPr>
              <w:t>本</w:t>
            </w:r>
            <w:r>
              <w:rPr>
                <w:rFonts w:hint="eastAsia" w:ascii="宋体" w:hAnsi="宋体" w:eastAsia="宋体" w:cs="Arial"/>
                <w:b/>
                <w:bCs/>
                <w:color w:val="auto"/>
                <w:kern w:val="0"/>
                <w:szCs w:val="21"/>
                <w:highlight w:val="none"/>
                <w:lang w:val="en-US" w:eastAsia="zh-CN"/>
              </w:rPr>
              <w:t>项目</w:t>
            </w:r>
            <w:r>
              <w:rPr>
                <w:rFonts w:hint="eastAsia" w:ascii="宋体" w:hAnsi="宋体" w:eastAsia="宋体" w:cs="Arial"/>
                <w:b/>
                <w:bCs/>
                <w:color w:val="auto"/>
                <w:kern w:val="0"/>
                <w:szCs w:val="21"/>
                <w:highlight w:val="none"/>
              </w:rPr>
              <w:t>中提供的符合本国产品标准的产品成本之和占该</w:t>
            </w:r>
            <w:r>
              <w:rPr>
                <w:rFonts w:hint="eastAsia" w:ascii="宋体" w:hAnsi="宋体" w:eastAsia="宋体" w:cs="Arial"/>
                <w:b/>
                <w:bCs/>
                <w:color w:val="auto"/>
                <w:kern w:val="0"/>
                <w:szCs w:val="21"/>
                <w:highlight w:val="none"/>
                <w:lang w:eastAsia="zh-CN"/>
              </w:rPr>
              <w:t>项目</w:t>
            </w:r>
            <w:r>
              <w:rPr>
                <w:rFonts w:hint="eastAsia" w:ascii="宋体" w:hAnsi="宋体" w:eastAsia="宋体" w:cs="Arial"/>
                <w:b/>
                <w:bCs/>
                <w:color w:val="auto"/>
                <w:kern w:val="0"/>
                <w:szCs w:val="21"/>
                <w:highlight w:val="none"/>
              </w:rPr>
              <w:t>提供的全部产品成本之和的比例为</w:t>
            </w:r>
            <w:r>
              <w:rPr>
                <w:rFonts w:hint="eastAsia" w:ascii="宋体" w:hAnsi="宋体" w:eastAsia="宋体" w:cs="Arial"/>
                <w:b/>
                <w:bCs/>
                <w:color w:val="auto"/>
                <w:kern w:val="0"/>
                <w:szCs w:val="21"/>
                <w:highlight w:val="none"/>
                <w:u w:val="single"/>
                <w:lang w:val="en-US" w:eastAsia="zh-CN"/>
              </w:rPr>
              <w:t xml:space="preserve">     </w:t>
            </w:r>
            <w:r>
              <w:rPr>
                <w:rFonts w:hint="eastAsia" w:ascii="宋体" w:hAnsi="宋体" w:eastAsia="宋体" w:cs="Arial"/>
                <w:b/>
                <w:bCs/>
                <w:color w:val="auto"/>
                <w:kern w:val="0"/>
                <w:szCs w:val="21"/>
                <w:highlight w:val="none"/>
                <w:lang w:val="en-US" w:eastAsia="zh-CN"/>
              </w:rPr>
              <w:t xml:space="preserve"> </w:t>
            </w:r>
            <w:r>
              <w:rPr>
                <w:rFonts w:hint="eastAsia" w:ascii="宋体" w:hAnsi="宋体" w:eastAsia="宋体" w:cs="Arial"/>
                <w:b/>
                <w:bCs/>
                <w:color w:val="auto"/>
                <w:kern w:val="0"/>
                <w:szCs w:val="21"/>
                <w:highlight w:val="none"/>
              </w:rPr>
              <w:t>%。</w:t>
            </w:r>
          </w:p>
        </w:tc>
      </w:tr>
    </w:tbl>
    <w:p w14:paraId="2B2C710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注：</w:t>
      </w:r>
    </w:p>
    <w:p w14:paraId="4137775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1.如果不提供</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分项报价将视为没有实质性响应</w:t>
      </w:r>
      <w:r>
        <w:rPr>
          <w:rFonts w:hint="eastAsia" w:ascii="宋体" w:hAnsi="宋体" w:eastAsia="宋体" w:cs="宋体"/>
          <w:color w:val="auto"/>
          <w:szCs w:val="21"/>
          <w:highlight w:val="none"/>
          <w:lang w:val="en-US" w:eastAsia="zh-CN"/>
        </w:rPr>
        <w:t>竞争性谈判</w:t>
      </w:r>
      <w:r>
        <w:rPr>
          <w:rFonts w:hint="eastAsia" w:ascii="宋体" w:hAnsi="宋体" w:eastAsia="宋体" w:cs="宋体"/>
          <w:color w:val="auto"/>
          <w:szCs w:val="21"/>
          <w:highlight w:val="none"/>
        </w:rPr>
        <w:t>文件。</w:t>
      </w:r>
    </w:p>
    <w:p w14:paraId="6AB7338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2.本表行数可以按照项目分项情况增加。</w:t>
      </w:r>
    </w:p>
    <w:p w14:paraId="0E0F2CA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3.上述各项的详细规格、技术参数如表格中填写不下的，可以逐项另页描述。</w:t>
      </w:r>
    </w:p>
    <w:p w14:paraId="6B89A89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4.本项目中含有多种产品时，供应商未填写本项目中提供的符合本国产品标准的</w:t>
      </w:r>
    </w:p>
    <w:p w14:paraId="48E9FAC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产品(标的所属行业注明是工业的产品)成本之和占该项目提供的全部产品成本之和的比例数值的，或比例数值未达到80%的，将不</w:t>
      </w:r>
      <w:r>
        <w:rPr>
          <w:rFonts w:hint="eastAsia" w:ascii="宋体" w:hAnsi="宋体" w:cs="宋体"/>
          <w:color w:val="auto"/>
          <w:szCs w:val="21"/>
          <w:highlight w:val="none"/>
          <w:lang w:val="en-US" w:eastAsia="zh-CN"/>
        </w:rPr>
        <w:t>享受</w:t>
      </w:r>
      <w:r>
        <w:rPr>
          <w:rFonts w:hint="eastAsia" w:ascii="宋体" w:hAnsi="宋体" w:eastAsia="宋体" w:cs="宋体"/>
          <w:color w:val="auto"/>
          <w:szCs w:val="21"/>
          <w:highlight w:val="none"/>
          <w:lang w:val="en-US" w:eastAsia="zh-CN"/>
        </w:rPr>
        <w:t>本国产品价格评审优惠。</w:t>
      </w:r>
    </w:p>
    <w:p w14:paraId="0AEA7C7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5.价格扣除优惠，仅适用于采购活动中实际存在非本国产品参与竞</w:t>
      </w:r>
      <w:r>
        <w:rPr>
          <w:rFonts w:hint="eastAsia" w:ascii="宋体" w:hAnsi="宋体" w:eastAsia="宋体" w:cs="宋体"/>
          <w:color w:val="auto"/>
          <w:szCs w:val="21"/>
          <w:highlight w:val="none"/>
          <w:lang w:val="en-US" w:eastAsia="zh-CN"/>
        </w:rPr>
        <w:t>争的情形。如果所有有效供应商提供的产品均为本国产品(即不存在非本国产品竞争)，则不执行本国产品的价格扣除政策。</w:t>
      </w:r>
      <w:r>
        <w:rPr>
          <w:rFonts w:hint="eastAsia" w:ascii="宋体" w:hAnsi="宋体" w:eastAsia="宋体" w:cs="宋体"/>
          <w:color w:val="auto"/>
          <w:szCs w:val="21"/>
          <w:highlight w:val="none"/>
          <w:lang w:val="zh-CN"/>
        </w:rPr>
        <w:t xml:space="preserve"> </w:t>
      </w:r>
    </w:p>
    <w:p w14:paraId="217007A6">
      <w:pPr>
        <w:keepNext w:val="0"/>
        <w:keepLines w:val="0"/>
        <w:pageBreakBefore w:val="0"/>
        <w:widowControl w:val="0"/>
        <w:kinsoku/>
        <w:wordWrap/>
        <w:overflowPunct/>
        <w:topLinePunct w:val="0"/>
        <w:autoSpaceDE/>
        <w:autoSpaceDN/>
        <w:bidi w:val="0"/>
        <w:adjustRightInd/>
        <w:snapToGrid/>
        <w:ind w:firstLine="562" w:firstLineChars="200"/>
        <w:textAlignment w:val="auto"/>
        <w:rPr>
          <w:rFonts w:ascii="宋体" w:hAnsi="宋体" w:cs="宋体"/>
          <w:b/>
          <w:color w:val="auto"/>
          <w:sz w:val="28"/>
          <w:szCs w:val="28"/>
          <w:highlight w:val="none"/>
        </w:rPr>
      </w:pPr>
      <w:r>
        <w:rPr>
          <w:rFonts w:ascii="宋体" w:hAnsi="宋体" w:cs="宋体"/>
          <w:b/>
          <w:color w:val="auto"/>
          <w:sz w:val="28"/>
          <w:szCs w:val="28"/>
          <w:highlight w:val="none"/>
        </w:rPr>
        <w:br w:type="page"/>
      </w:r>
    </w:p>
    <w:p w14:paraId="60C14F11">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14:paraId="21892E99">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14F4761E">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供应商应对竞争性谈判文件中规定的商务及技术部分给予充分的考虑。为了评审的需要，供应商应将这些条款的异议逐条提出或根据以下要求的格式提出偏离。</w:t>
      </w:r>
    </w:p>
    <w:p w14:paraId="5D770291">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如无偏离，请在本页上写“无”，并附在谈判响应文件中。</w:t>
      </w:r>
    </w:p>
    <w:p w14:paraId="340E1F60">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3083D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12F3A208">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77D373F8">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1FAEE7DE">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7E04DE83">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3DA35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263774A4">
            <w:pPr>
              <w:rPr>
                <w:rFonts w:ascii="宋体" w:hAnsi="宋体" w:cs="宋体"/>
                <w:color w:val="auto"/>
                <w:szCs w:val="21"/>
                <w:highlight w:val="none"/>
              </w:rPr>
            </w:pPr>
          </w:p>
        </w:tc>
        <w:tc>
          <w:tcPr>
            <w:tcW w:w="2132" w:type="dxa"/>
          </w:tcPr>
          <w:p w14:paraId="70F8A794">
            <w:pPr>
              <w:rPr>
                <w:rFonts w:ascii="宋体" w:hAnsi="宋体" w:cs="宋体"/>
                <w:color w:val="auto"/>
                <w:szCs w:val="21"/>
                <w:highlight w:val="none"/>
              </w:rPr>
            </w:pPr>
          </w:p>
        </w:tc>
        <w:tc>
          <w:tcPr>
            <w:tcW w:w="3044" w:type="dxa"/>
          </w:tcPr>
          <w:p w14:paraId="4BAB9079">
            <w:pPr>
              <w:rPr>
                <w:rFonts w:ascii="宋体" w:hAnsi="宋体" w:cs="宋体"/>
                <w:color w:val="auto"/>
                <w:szCs w:val="21"/>
                <w:highlight w:val="none"/>
              </w:rPr>
            </w:pPr>
          </w:p>
        </w:tc>
        <w:tc>
          <w:tcPr>
            <w:tcW w:w="1440" w:type="dxa"/>
          </w:tcPr>
          <w:p w14:paraId="0EA4BD71">
            <w:pPr>
              <w:rPr>
                <w:rFonts w:ascii="宋体" w:hAnsi="宋体" w:cs="宋体"/>
                <w:color w:val="auto"/>
                <w:szCs w:val="21"/>
                <w:highlight w:val="none"/>
              </w:rPr>
            </w:pPr>
          </w:p>
        </w:tc>
      </w:tr>
      <w:tr w14:paraId="65A5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1FD7011">
            <w:pPr>
              <w:rPr>
                <w:rFonts w:ascii="宋体" w:hAnsi="宋体" w:cs="宋体"/>
                <w:color w:val="auto"/>
                <w:szCs w:val="21"/>
                <w:highlight w:val="none"/>
              </w:rPr>
            </w:pPr>
          </w:p>
        </w:tc>
        <w:tc>
          <w:tcPr>
            <w:tcW w:w="2132" w:type="dxa"/>
          </w:tcPr>
          <w:p w14:paraId="050DED36">
            <w:pPr>
              <w:rPr>
                <w:rFonts w:ascii="宋体" w:hAnsi="宋体" w:cs="宋体"/>
                <w:color w:val="auto"/>
                <w:szCs w:val="21"/>
                <w:highlight w:val="none"/>
              </w:rPr>
            </w:pPr>
          </w:p>
        </w:tc>
        <w:tc>
          <w:tcPr>
            <w:tcW w:w="3044" w:type="dxa"/>
          </w:tcPr>
          <w:p w14:paraId="24FC45D7">
            <w:pPr>
              <w:rPr>
                <w:rFonts w:ascii="宋体" w:hAnsi="宋体" w:cs="宋体"/>
                <w:color w:val="auto"/>
                <w:szCs w:val="21"/>
                <w:highlight w:val="none"/>
              </w:rPr>
            </w:pPr>
          </w:p>
        </w:tc>
        <w:tc>
          <w:tcPr>
            <w:tcW w:w="1440" w:type="dxa"/>
          </w:tcPr>
          <w:p w14:paraId="2180DC44">
            <w:pPr>
              <w:rPr>
                <w:rFonts w:ascii="宋体" w:hAnsi="宋体" w:cs="宋体"/>
                <w:color w:val="auto"/>
                <w:szCs w:val="21"/>
                <w:highlight w:val="none"/>
              </w:rPr>
            </w:pPr>
          </w:p>
        </w:tc>
      </w:tr>
      <w:tr w14:paraId="1011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640F0CF">
            <w:pPr>
              <w:rPr>
                <w:rFonts w:ascii="宋体" w:hAnsi="宋体" w:cs="宋体"/>
                <w:color w:val="auto"/>
                <w:szCs w:val="21"/>
                <w:highlight w:val="none"/>
              </w:rPr>
            </w:pPr>
          </w:p>
        </w:tc>
        <w:tc>
          <w:tcPr>
            <w:tcW w:w="2132" w:type="dxa"/>
          </w:tcPr>
          <w:p w14:paraId="151E45BE">
            <w:pPr>
              <w:rPr>
                <w:rFonts w:ascii="宋体" w:hAnsi="宋体" w:cs="宋体"/>
                <w:color w:val="auto"/>
                <w:szCs w:val="21"/>
                <w:highlight w:val="none"/>
              </w:rPr>
            </w:pPr>
          </w:p>
        </w:tc>
        <w:tc>
          <w:tcPr>
            <w:tcW w:w="3044" w:type="dxa"/>
          </w:tcPr>
          <w:p w14:paraId="04A4A2C5">
            <w:pPr>
              <w:rPr>
                <w:rFonts w:ascii="宋体" w:hAnsi="宋体" w:cs="宋体"/>
                <w:color w:val="auto"/>
                <w:szCs w:val="21"/>
                <w:highlight w:val="none"/>
              </w:rPr>
            </w:pPr>
          </w:p>
        </w:tc>
        <w:tc>
          <w:tcPr>
            <w:tcW w:w="1440" w:type="dxa"/>
          </w:tcPr>
          <w:p w14:paraId="23E60668">
            <w:pPr>
              <w:rPr>
                <w:rFonts w:ascii="宋体" w:hAnsi="宋体" w:cs="宋体"/>
                <w:color w:val="auto"/>
                <w:szCs w:val="21"/>
                <w:highlight w:val="none"/>
              </w:rPr>
            </w:pPr>
          </w:p>
        </w:tc>
      </w:tr>
    </w:tbl>
    <w:p w14:paraId="1F43CDE7">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16416ED4">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5B9F980B">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53ECCA8">
      <w:pPr>
        <w:pStyle w:val="3"/>
        <w:overflowPunct w:val="0"/>
        <w:spacing w:line="500" w:lineRule="exact"/>
        <w:ind w:firstLine="0"/>
        <w:rPr>
          <w:rFonts w:hAnsi="宋体" w:cs="宋体"/>
          <w:b/>
          <w:color w:val="auto"/>
          <w:sz w:val="28"/>
          <w:szCs w:val="28"/>
          <w:highlight w:val="none"/>
        </w:rPr>
      </w:pPr>
    </w:p>
    <w:p w14:paraId="13775A18">
      <w:pPr>
        <w:pStyle w:val="3"/>
        <w:overflowPunct w:val="0"/>
        <w:spacing w:line="500" w:lineRule="exact"/>
        <w:ind w:firstLine="0"/>
        <w:rPr>
          <w:rFonts w:hAnsi="宋体" w:cs="宋体"/>
          <w:b/>
          <w:color w:val="auto"/>
          <w:sz w:val="28"/>
          <w:szCs w:val="28"/>
          <w:highlight w:val="none"/>
        </w:rPr>
      </w:pPr>
    </w:p>
    <w:p w14:paraId="5A44858E">
      <w:pPr>
        <w:pStyle w:val="3"/>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14:paraId="2D380887">
      <w:pPr>
        <w:pStyle w:val="2"/>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14:paraId="449DF254">
      <w:pPr>
        <w:spacing w:line="360" w:lineRule="auto"/>
        <w:rPr>
          <w:rFonts w:ascii="宋体" w:hAnsi="宋体" w:cs="宋体"/>
          <w:color w:val="auto"/>
          <w:sz w:val="24"/>
          <w:szCs w:val="24"/>
          <w:highlight w:val="none"/>
        </w:rPr>
      </w:pPr>
    </w:p>
    <w:p w14:paraId="332DE85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1FC6B349">
      <w:pPr>
        <w:spacing w:line="360" w:lineRule="auto"/>
        <w:rPr>
          <w:rFonts w:ascii="宋体" w:hAnsi="宋体" w:cs="宋体"/>
          <w:color w:val="auto"/>
          <w:sz w:val="24"/>
          <w:szCs w:val="24"/>
          <w:highlight w:val="none"/>
        </w:rPr>
      </w:pPr>
    </w:p>
    <w:p w14:paraId="5814855E">
      <w:pPr>
        <w:spacing w:line="360" w:lineRule="auto"/>
        <w:rPr>
          <w:rFonts w:ascii="宋体" w:hAnsi="宋体" w:cs="宋体"/>
          <w:color w:val="auto"/>
          <w:sz w:val="24"/>
          <w:szCs w:val="24"/>
          <w:highlight w:val="none"/>
        </w:rPr>
      </w:pPr>
    </w:p>
    <w:p w14:paraId="54FD7293">
      <w:pPr>
        <w:spacing w:line="360" w:lineRule="auto"/>
        <w:rPr>
          <w:rFonts w:ascii="宋体" w:hAnsi="宋体" w:cs="宋体"/>
          <w:color w:val="auto"/>
          <w:sz w:val="24"/>
          <w:szCs w:val="24"/>
          <w:highlight w:val="none"/>
        </w:rPr>
      </w:pPr>
    </w:p>
    <w:p w14:paraId="42445278">
      <w:pPr>
        <w:spacing w:line="360" w:lineRule="auto"/>
        <w:rPr>
          <w:rFonts w:ascii="宋体" w:hAnsi="宋体" w:cs="宋体"/>
          <w:color w:val="auto"/>
          <w:sz w:val="24"/>
          <w:szCs w:val="24"/>
          <w:highlight w:val="none"/>
        </w:rPr>
      </w:pPr>
    </w:p>
    <w:p w14:paraId="57302366">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3D661551">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134923E8">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2396E6D">
      <w:pPr>
        <w:rPr>
          <w:rFonts w:ascii="宋体" w:hAnsi="宋体" w:cs="宋体"/>
          <w:color w:val="auto"/>
          <w:sz w:val="24"/>
          <w:szCs w:val="24"/>
          <w:highlight w:val="none"/>
        </w:rPr>
      </w:pPr>
    </w:p>
    <w:p w14:paraId="6A0B46FD">
      <w:pPr>
        <w:rPr>
          <w:rFonts w:ascii="宋体" w:hAnsi="宋体" w:cs="宋体"/>
          <w:color w:val="auto"/>
          <w:sz w:val="24"/>
          <w:szCs w:val="24"/>
          <w:highlight w:val="none"/>
        </w:rPr>
      </w:pPr>
    </w:p>
    <w:p w14:paraId="70342098">
      <w:pPr>
        <w:rPr>
          <w:rFonts w:ascii="宋体" w:hAnsi="宋体" w:cs="宋体"/>
          <w:color w:val="auto"/>
          <w:sz w:val="24"/>
          <w:szCs w:val="24"/>
          <w:highlight w:val="none"/>
        </w:rPr>
      </w:pPr>
    </w:p>
    <w:p w14:paraId="5BEF9E1B">
      <w:pPr>
        <w:jc w:val="center"/>
        <w:rPr>
          <w:rFonts w:ascii="宋体" w:hAnsi="宋体" w:cs="宋体"/>
          <w:b/>
          <w:color w:val="auto"/>
          <w:sz w:val="32"/>
          <w:szCs w:val="32"/>
          <w:highlight w:val="none"/>
        </w:rPr>
      </w:pPr>
    </w:p>
    <w:p w14:paraId="0310AEC3">
      <w:pPr>
        <w:pStyle w:val="3"/>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76AFF2C">
      <w:pPr>
        <w:pStyle w:val="3"/>
        <w:overflowPunct w:val="0"/>
        <w:spacing w:line="500" w:lineRule="exact"/>
        <w:ind w:firstLine="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8.</w:t>
      </w:r>
      <w:r>
        <w:rPr>
          <w:rFonts w:hint="eastAsia" w:ascii="宋体" w:hAnsi="宋体" w:eastAsia="宋体" w:cs="宋体"/>
          <w:b/>
          <w:bCs/>
          <w:color w:val="auto"/>
          <w:sz w:val="28"/>
          <w:szCs w:val="28"/>
          <w:highlight w:val="none"/>
        </w:rPr>
        <w:t>关于符合本国产品标准的声明函</w:t>
      </w:r>
      <w:r>
        <w:rPr>
          <w:rFonts w:hint="eastAsia" w:ascii="宋体" w:hAnsi="宋体" w:eastAsia="宋体" w:cs="宋体"/>
          <w:b/>
          <w:bCs/>
          <w:color w:val="auto"/>
          <w:sz w:val="28"/>
          <w:szCs w:val="28"/>
          <w:highlight w:val="none"/>
          <w:lang w:val="en-US" w:eastAsia="zh-CN"/>
        </w:rPr>
        <w:t xml:space="preserve"> </w:t>
      </w:r>
    </w:p>
    <w:p w14:paraId="48FE51FC">
      <w:pPr>
        <w:spacing w:line="360" w:lineRule="auto"/>
        <w:jc w:val="left"/>
        <w:rPr>
          <w:rFonts w:hint="eastAsia" w:ascii="方正魏碑_GBK" w:hAnsi="方正魏碑_GBK" w:eastAsia="方正魏碑_GBK" w:cs="方正魏碑_GBK"/>
          <w:b/>
          <w:color w:val="auto"/>
          <w:sz w:val="24"/>
          <w:szCs w:val="24"/>
          <w:highlight w:val="none"/>
        </w:rPr>
      </w:pPr>
    </w:p>
    <w:p w14:paraId="34F56749">
      <w:pPr>
        <w:spacing w:line="360" w:lineRule="auto"/>
        <w:jc w:val="center"/>
        <w:rPr>
          <w:rFonts w:hint="eastAsia" w:ascii="方正魏碑_GBK" w:hAnsi="方正魏碑_GBK" w:eastAsia="方正魏碑_GBK" w:cs="方正魏碑_GBK"/>
          <w:color w:val="auto"/>
          <w:sz w:val="24"/>
          <w:szCs w:val="24"/>
          <w:highlight w:val="none"/>
          <w:lang w:val="en-US" w:eastAsia="zh-CN"/>
        </w:rPr>
      </w:pPr>
      <w:r>
        <w:rPr>
          <w:rFonts w:hint="eastAsia" w:ascii="方正魏碑_GBK" w:hAnsi="方正魏碑_GBK" w:eastAsia="方正魏碑_GBK" w:cs="方正魏碑_GBK"/>
          <w:b/>
          <w:color w:val="auto"/>
          <w:sz w:val="24"/>
          <w:szCs w:val="24"/>
          <w:highlight w:val="none"/>
        </w:rPr>
        <w:t>关于符合本国产品标准的声明函</w:t>
      </w:r>
      <w:r>
        <w:rPr>
          <w:rFonts w:hint="eastAsia" w:ascii="方正魏碑_GBK" w:hAnsi="方正魏碑_GBK" w:eastAsia="方正魏碑_GBK" w:cs="方正魏碑_GBK"/>
          <w:b/>
          <w:color w:val="auto"/>
          <w:sz w:val="24"/>
          <w:szCs w:val="24"/>
          <w:highlight w:val="none"/>
          <w:lang w:val="en-US" w:eastAsia="zh-CN"/>
        </w:rPr>
        <w:t xml:space="preserve"> </w:t>
      </w:r>
    </w:p>
    <w:p w14:paraId="2F6E1A3D">
      <w:pPr>
        <w:pStyle w:val="13"/>
        <w:spacing w:before="0" w:beforeAutospacing="0" w:after="0" w:afterAutospacing="0" w:line="360" w:lineRule="auto"/>
        <w:ind w:firstLine="420"/>
        <w:rPr>
          <w:rFonts w:ascii="方正魏碑_GBK" w:hAnsi="方正魏碑_GBK" w:eastAsia="方正魏碑_GBK" w:cs="方正魏碑_GBK"/>
          <w:color w:val="auto"/>
          <w:sz w:val="24"/>
          <w:szCs w:val="24"/>
          <w:highlight w:val="none"/>
        </w:rPr>
      </w:pPr>
    </w:p>
    <w:p w14:paraId="521582F2">
      <w:pPr>
        <w:pStyle w:val="13"/>
        <w:spacing w:before="0" w:beforeAutospacing="0" w:after="0" w:afterAutospacing="0" w:line="360" w:lineRule="auto"/>
        <w:ind w:firstLine="420"/>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rPr>
        <w:t>本公司（单位）郑重声明，根据《国务院办公厅关于在政府采购中实施本国产品标准及相关政策的通知》（国办发〔2025〕34号）的规定，本公司（单位）提供的以下产品属于本国产品。具体情况如下：</w:t>
      </w:r>
    </w:p>
    <w:p w14:paraId="7AFC4383">
      <w:pPr>
        <w:pStyle w:val="13"/>
        <w:spacing w:before="30" w:beforeAutospacing="0" w:after="30" w:afterAutospacing="0" w:line="360" w:lineRule="auto"/>
        <w:ind w:firstLine="420"/>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70528" behindDoc="0" locked="0" layoutInCell="1" allowOverlap="1">
                <wp:simplePos x="0" y="0"/>
                <wp:positionH relativeFrom="column">
                  <wp:posOffset>-8890</wp:posOffset>
                </wp:positionH>
                <wp:positionV relativeFrom="paragraph">
                  <wp:posOffset>511175</wp:posOffset>
                </wp:positionV>
                <wp:extent cx="565785" cy="130810"/>
                <wp:effectExtent l="1270" t="4445" r="4445" b="17145"/>
                <wp:wrapNone/>
                <wp:docPr id="4" name="直接箭头连接符 4"/>
                <wp:cNvGraphicFramePr/>
                <a:graphic xmlns:a="http://schemas.openxmlformats.org/drawingml/2006/main">
                  <a:graphicData uri="http://schemas.microsoft.com/office/word/2010/wordprocessingShape">
                    <wps:wsp>
                      <wps:cNvCnPr/>
                      <wps:spPr>
                        <a:xfrm flipV="1">
                          <a:off x="0" y="0"/>
                          <a:ext cx="565785" cy="13081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zQTxy1QAAAAgBAAAPAAAAAAAAAAEAIAAA&#10;ACIAAABkcnMvZG93bnJldi54bWxQSwECFAAUAAAACACHTuJAw0GZKw8CAAAIBAAADgAAAAAAAAAB&#10;ACAAAAAkAQAAZHJzL2Uyb0RvYy54bWxQSwUGAAAAAAYABgBZAQAApQ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9504" behindDoc="0" locked="0" layoutInCell="1" allowOverlap="1">
                <wp:simplePos x="0" y="0"/>
                <wp:positionH relativeFrom="column">
                  <wp:posOffset>4976495</wp:posOffset>
                </wp:positionH>
                <wp:positionV relativeFrom="paragraph">
                  <wp:posOffset>309880</wp:posOffset>
                </wp:positionV>
                <wp:extent cx="196215" cy="97790"/>
                <wp:effectExtent l="1905" t="4445" r="11430" b="12065"/>
                <wp:wrapNone/>
                <wp:docPr id="12" name="直接箭头连接符 12"/>
                <wp:cNvGraphicFramePr/>
                <a:graphic xmlns:a="http://schemas.openxmlformats.org/drawingml/2006/main">
                  <a:graphicData uri="http://schemas.microsoft.com/office/word/2010/wordprocessingShape">
                    <wps:wsp>
                      <wps:cNvCnPr/>
                      <wps:spPr>
                        <a:xfrm flipV="1">
                          <a:off x="0" y="0"/>
                          <a:ext cx="196215" cy="9779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r2QVDWAAAACQEAAA8AAAAAAAAAAQAgAAAA&#10;IgAAAGRycy9kb3ducmV2LnhtbFBLAQIUABQAAAAIAIdO4kAzobtjDQIAAAkEAAAOAAAAAAAAAAEA&#10;IAAAACUBAABkcnMvZTJvRG9jLnhtbFBLBQYAAAAABgAGAFkBAACk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8480" behindDoc="0" locked="0" layoutInCell="1" allowOverlap="1">
                <wp:simplePos x="0" y="0"/>
                <wp:positionH relativeFrom="column">
                  <wp:posOffset>3109595</wp:posOffset>
                </wp:positionH>
                <wp:positionV relativeFrom="paragraph">
                  <wp:posOffset>511175</wp:posOffset>
                </wp:positionV>
                <wp:extent cx="816610" cy="147320"/>
                <wp:effectExtent l="635" t="4445" r="1905" b="19685"/>
                <wp:wrapNone/>
                <wp:docPr id="1" name="直接箭头连接符 1"/>
                <wp:cNvGraphicFramePr/>
                <a:graphic xmlns:a="http://schemas.openxmlformats.org/drawingml/2006/main">
                  <a:graphicData uri="http://schemas.microsoft.com/office/word/2010/wordprocessingShape">
                    <wps:wsp>
                      <wps:cNvCnPr/>
                      <wps:spPr>
                        <a:xfrm flipV="1">
                          <a:off x="0" y="0"/>
                          <a:ext cx="816610" cy="14732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0mIWc9cAAAAKAQAADwAAAAAAAAABACAA&#10;AAAiAAAAZHJzL2Rvd25yZXYueG1sUEsBAhQAFAAAAAgAh07iQPfVKVAOAgAACAQAAA4AAAAAAAAA&#10;AQAgAAAAJgEAAGRycy9lMm9Eb2MueG1sUEsFBgAAAAAGAAYAWQEAAKYFA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7456" behindDoc="0" locked="0" layoutInCell="1" allowOverlap="1">
                <wp:simplePos x="0" y="0"/>
                <wp:positionH relativeFrom="column">
                  <wp:posOffset>29210</wp:posOffset>
                </wp:positionH>
                <wp:positionV relativeFrom="paragraph">
                  <wp:posOffset>309880</wp:posOffset>
                </wp:positionV>
                <wp:extent cx="364490" cy="97790"/>
                <wp:effectExtent l="1270" t="4445" r="15240" b="12065"/>
                <wp:wrapNone/>
                <wp:docPr id="3" name="直接箭头连接符 3"/>
                <wp:cNvGraphicFramePr/>
                <a:graphic xmlns:a="http://schemas.openxmlformats.org/drawingml/2006/main">
                  <a:graphicData uri="http://schemas.microsoft.com/office/word/2010/wordprocessingShape">
                    <wps:wsp>
                      <wps:cNvCnPr/>
                      <wps:spPr>
                        <a:xfrm flipV="1">
                          <a:off x="0" y="0"/>
                          <a:ext cx="364490" cy="9779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&#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kd11S0wAAAAYBAAAPAAAAAAAAAAEAIAAAACIAAABk&#10;cnMvZG93bnJldi54bWxQSwECFAAUAAAACACHTuJAu78hHAsCAAAHBAAADgAAAAAAAAABACAAAAAi&#10;AQAAZHJzL2Uyb0RvYy54bWxQSwUGAAAAAAYABgBZAQAAnw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6432" behindDoc="0" locked="0" layoutInCell="1" allowOverlap="1">
                <wp:simplePos x="0" y="0"/>
                <wp:positionH relativeFrom="column">
                  <wp:posOffset>4595495</wp:posOffset>
                </wp:positionH>
                <wp:positionV relativeFrom="paragraph">
                  <wp:posOffset>86995</wp:posOffset>
                </wp:positionV>
                <wp:extent cx="577215" cy="92075"/>
                <wp:effectExtent l="635" t="4445" r="12700" b="17780"/>
                <wp:wrapNone/>
                <wp:docPr id="14" name="直接箭头连接符 14"/>
                <wp:cNvGraphicFramePr/>
                <a:graphic xmlns:a="http://schemas.openxmlformats.org/drawingml/2006/main">
                  <a:graphicData uri="http://schemas.microsoft.com/office/word/2010/wordprocessingShape">
                    <wps:wsp>
                      <wps:cNvCnPr/>
                      <wps:spPr>
                        <a:xfrm flipV="1">
                          <a:off x="0" y="0"/>
                          <a:ext cx="577215" cy="9207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YoXFrWAAAACQEAAA8AAAAAAAAAAQAgAAAAIgAA&#10;AGRycy9kb3ducmV2LnhtbFBLAQIUABQAAAAIAIdO4kCTHyDFCgIAAAkEAAAOAAAAAAAAAAEAIAAA&#10;ACUBAABkcnMvZTJvRG9jLnhtbFBLBQYAAAAABgAGAFkBAACh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1945005</wp:posOffset>
                </wp:positionH>
                <wp:positionV relativeFrom="paragraph">
                  <wp:posOffset>521970</wp:posOffset>
                </wp:positionV>
                <wp:extent cx="876300" cy="120015"/>
                <wp:effectExtent l="635" t="4445" r="18415" b="8890"/>
                <wp:wrapNone/>
                <wp:docPr id="5" name="直接箭头连接符 5"/>
                <wp:cNvGraphicFramePr/>
                <a:graphic xmlns:a="http://schemas.openxmlformats.org/drawingml/2006/main">
                  <a:graphicData uri="http://schemas.microsoft.com/office/word/2010/wordprocessingShape">
                    <wps:wsp>
                      <wps:cNvCnPr/>
                      <wps:spPr>
                        <a:xfrm flipV="1">
                          <a:off x="0" y="0"/>
                          <a:ext cx="876300" cy="1200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H8n7vWAAAACgEAAA8AAAAAAAAAAQAgAAAA&#10;IgAAAGRycy9kb3ducmV2LnhtbFBLAQIUABQAAAAIAIdO4kAomRd0DQIAAAgEAAAOAAAAAAAAAAEA&#10;IAAAACUBAABkcnMvZTJvRG9jLnhtbFBLBQYAAAAABgAGAFkBAACk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3844290</wp:posOffset>
                </wp:positionH>
                <wp:positionV relativeFrom="paragraph">
                  <wp:posOffset>304165</wp:posOffset>
                </wp:positionV>
                <wp:extent cx="816610" cy="103505"/>
                <wp:effectExtent l="635" t="4445" r="1905" b="6350"/>
                <wp:wrapNone/>
                <wp:docPr id="2" name="直接箭头连接符 2"/>
                <wp:cNvGraphicFramePr/>
                <a:graphic xmlns:a="http://schemas.openxmlformats.org/drawingml/2006/main">
                  <a:graphicData uri="http://schemas.microsoft.com/office/word/2010/wordprocessingShape">
                    <wps:wsp>
                      <wps:cNvCnPr/>
                      <wps:spPr>
                        <a:xfrm flipV="1">
                          <a:off x="0" y="0"/>
                          <a:ext cx="816610" cy="10350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vQnvrXAAAACQEAAA8AAAAAAAAAAQAgAAAA&#10;IgAAAGRycy9kb3ducmV2LnhtbFBLAQIUABQAAAAIAIdO4kA0HwO6DAIAAAgEAAAOAAAAAAAAAAEA&#10;IAAAACYBAABkcnMvZTJvRG9jLnhtbFBLBQYAAAAABgAGAFkBAACk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59264" behindDoc="0" locked="0" layoutInCell="1" allowOverlap="1">
                <wp:simplePos x="0" y="0"/>
                <wp:positionH relativeFrom="column">
                  <wp:posOffset>2772410</wp:posOffset>
                </wp:positionH>
                <wp:positionV relativeFrom="paragraph">
                  <wp:posOffset>320675</wp:posOffset>
                </wp:positionV>
                <wp:extent cx="816610" cy="76200"/>
                <wp:effectExtent l="635" t="4445" r="1905" b="14605"/>
                <wp:wrapNone/>
                <wp:docPr id="9" name="直接箭头连接符 9"/>
                <wp:cNvGraphicFramePr/>
                <a:graphic xmlns:a="http://schemas.openxmlformats.org/drawingml/2006/main">
                  <a:graphicData uri="http://schemas.microsoft.com/office/word/2010/wordprocessingShape">
                    <wps:wsp>
                      <wps:cNvCnPr/>
                      <wps:spPr>
                        <a:xfrm flipV="1">
                          <a:off x="0" y="0"/>
                          <a:ext cx="816610" cy="7620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luf9s1wAAAAkBAAAPAAAAAAAAAAEAIAAAACIA&#10;AABkcnMvZG93bnJldi54bWxQSwECFAAUAAAACACHTuJAhYpI5QoCAAAHBAAADgAAAAAAAAABACAA&#10;AAAmAQAAZHJzL2Uyb0RvYy54bWxQSwUGAAAAAAYABgBZAQAAog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shd w:val="clear" w:color="auto" w:fill="FFFFFF"/>
        </w:rPr>
        <w:t>1.</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（产品名称1）</w:t>
      </w:r>
      <w:r>
        <w:rPr>
          <w:rStyle w:val="18"/>
          <w:rFonts w:hint="eastAsia" w:ascii="方正魏碑_GBK" w:hAnsi="方正魏碑_GBK" w:eastAsia="方正魏碑_GBK" w:cs="方正魏碑_GBK"/>
          <w:i w:val="0"/>
          <w:color w:val="auto"/>
          <w:sz w:val="24"/>
          <w:szCs w:val="24"/>
          <w:highlight w:val="none"/>
          <w:shd w:val="clear" w:color="auto" w:fill="FFFFFF"/>
          <w:vertAlign w:val="superscript"/>
        </w:rPr>
        <w:t>1</w:t>
      </w:r>
      <w:r>
        <w:rPr>
          <w:rFonts w:hint="eastAsia" w:ascii="方正魏碑_GBK" w:hAnsi="方正魏碑_GBK" w:eastAsia="方正魏碑_GBK" w:cs="方正魏碑_GBK"/>
          <w:color w:val="auto"/>
          <w:sz w:val="24"/>
          <w:szCs w:val="24"/>
          <w:highlight w:val="none"/>
          <w:shd w:val="clear" w:color="auto" w:fill="FFFFFF"/>
        </w:rPr>
        <w:t>，生产厂为</w:t>
      </w:r>
      <w:r>
        <w:rPr>
          <w:rStyle w:val="18"/>
          <w:rFonts w:hint="eastAsia" w:ascii="方正魏碑_GBK" w:hAnsi="方正魏碑_GBK" w:eastAsia="方正魏碑_GBK" w:cs="方正魏碑_GBK"/>
          <w:i w:val="0"/>
          <w:color w:val="auto"/>
          <w:sz w:val="24"/>
          <w:szCs w:val="24"/>
          <w:highlight w:val="none"/>
          <w:u w:val="single"/>
          <w:shd w:val="clear" w:color="auto" w:fill="FFFFFF"/>
        </w:rPr>
        <w:t>（厂名）</w:t>
      </w:r>
      <w:r>
        <w:rPr>
          <w:rStyle w:val="18"/>
          <w:rFonts w:hint="eastAsia" w:ascii="方正魏碑_GBK" w:hAnsi="方正魏碑_GBK" w:eastAsia="方正魏碑_GBK" w:cs="方正魏碑_GBK"/>
          <w:i w:val="0"/>
          <w:color w:val="auto"/>
          <w:sz w:val="24"/>
          <w:szCs w:val="24"/>
          <w:highlight w:val="none"/>
          <w:shd w:val="clear" w:color="auto" w:fill="FFFFFF"/>
          <w:vertAlign w:val="superscript"/>
        </w:rPr>
        <w:t>2</w:t>
      </w:r>
      <w:r>
        <w:rPr>
          <w:rFonts w:hint="eastAsia" w:ascii="方正魏碑_GBK" w:hAnsi="方正魏碑_GBK" w:eastAsia="方正魏碑_GBK" w:cs="方正魏碑_GBK"/>
          <w:color w:val="auto"/>
          <w:sz w:val="24"/>
          <w:szCs w:val="24"/>
          <w:highlight w:val="none"/>
          <w:shd w:val="clear" w:color="auto" w:fill="FFFFFF"/>
        </w:rPr>
        <w:t>，厂址为</w:t>
      </w:r>
      <w:r>
        <w:rPr>
          <w:rStyle w:val="18"/>
          <w:rFonts w:hint="eastAsia" w:ascii="方正魏碑_GBK" w:hAnsi="方正魏碑_GBK" w:eastAsia="方正魏碑_GBK" w:cs="方正魏碑_GBK"/>
          <w:i w:val="0"/>
          <w:color w:val="auto"/>
          <w:sz w:val="24"/>
          <w:szCs w:val="24"/>
          <w:highlight w:val="none"/>
          <w:u w:val="single"/>
          <w:shd w:val="clear" w:color="auto" w:fill="FFFFFF"/>
        </w:rPr>
        <w:t>（生产厂址）</w:t>
      </w:r>
      <w:r>
        <w:rPr>
          <w:rFonts w:hint="eastAsia" w:ascii="方正魏碑_GBK" w:hAnsi="方正魏碑_GBK" w:eastAsia="方正魏碑_GBK" w:cs="方正魏碑_GBK"/>
          <w:color w:val="auto"/>
          <w:sz w:val="24"/>
          <w:szCs w:val="24"/>
          <w:highlight w:val="none"/>
          <w:shd w:val="clear" w:color="auto" w:fill="FFFFFF"/>
        </w:rPr>
        <w:t>。</w:t>
      </w:r>
      <w:r>
        <w:rPr>
          <w:rFonts w:hint="eastAsia" w:ascii="方正魏碑_GBK" w:hAnsi="方正魏碑_GBK" w:eastAsia="方正魏碑_GBK" w:cs="方正魏碑_GBK"/>
          <w:color w:val="auto"/>
          <w:sz w:val="24"/>
          <w:szCs w:val="24"/>
          <w:highlight w:val="none"/>
          <w:u w:val="single"/>
          <w:shd w:val="clear" w:color="auto" w:fill="FFFFFF"/>
        </w:rPr>
        <w:t xml:space="preserve"> </w:t>
      </w:r>
      <w:r>
        <w:rPr>
          <w:rStyle w:val="18"/>
          <w:rFonts w:hint="eastAsia" w:ascii="方正魏碑_GBK" w:hAnsi="方正魏碑_GBK" w:eastAsia="方正魏碑_GBK" w:cs="方正魏碑_GBK"/>
          <w:i w:val="0"/>
          <w:color w:val="auto"/>
          <w:sz w:val="24"/>
          <w:szCs w:val="24"/>
          <w:highlight w:val="none"/>
          <w:u w:val="single"/>
          <w:shd w:val="clear" w:color="auto" w:fill="FFFFFF"/>
        </w:rPr>
        <w:t xml:space="preserve">（产品名称1） </w:t>
      </w:r>
      <w:r>
        <w:rPr>
          <w:rFonts w:hint="eastAsia" w:ascii="方正魏碑_GBK" w:hAnsi="方正魏碑_GBK" w:eastAsia="方正魏碑_GBK" w:cs="方正魏碑_GBK"/>
          <w:color w:val="auto"/>
          <w:sz w:val="24"/>
          <w:szCs w:val="24"/>
          <w:highlight w:val="none"/>
          <w:shd w:val="clear" w:color="auto" w:fill="FFFFFF"/>
        </w:rPr>
        <w:t>的中国境内生产的组件成本占比≥</w:t>
      </w:r>
      <w:r>
        <w:rPr>
          <w:rStyle w:val="18"/>
          <w:rFonts w:hint="eastAsia" w:ascii="方正魏碑_GBK" w:hAnsi="方正魏碑_GBK" w:eastAsia="方正魏碑_GBK" w:cs="方正魏碑_GBK"/>
          <w:i w:val="0"/>
          <w:color w:val="auto"/>
          <w:sz w:val="24"/>
          <w:szCs w:val="24"/>
          <w:highlight w:val="none"/>
          <w:u w:val="single"/>
          <w:shd w:val="clear" w:color="auto" w:fill="FFFFFF"/>
        </w:rPr>
        <w:t>（规定</w:t>
      </w:r>
      <w:r>
        <w:rPr>
          <w:rStyle w:val="18"/>
          <w:rFonts w:ascii="方正魏碑_GBK" w:hAnsi="方正魏碑_GBK" w:eastAsia="方正魏碑_GBK" w:cs="方正魏碑_GBK"/>
          <w:i w:val="0"/>
          <w:color w:val="auto"/>
          <w:sz w:val="24"/>
          <w:szCs w:val="24"/>
          <w:highlight w:val="none"/>
          <w:u w:val="single"/>
          <w:shd w:val="clear" w:color="auto" w:fill="FFFFFF"/>
        </w:rPr>
        <w:t>比例</w:t>
      </w:r>
      <w:r>
        <w:rPr>
          <w:rStyle w:val="18"/>
          <w:rFonts w:hint="eastAsia" w:ascii="方正魏碑_GBK" w:hAnsi="方正魏碑_GBK" w:eastAsia="方正魏碑_GBK" w:cs="方正魏碑_GBK"/>
          <w:i w:val="0"/>
          <w:color w:val="auto"/>
          <w:sz w:val="24"/>
          <w:szCs w:val="24"/>
          <w:highlight w:val="none"/>
          <w:u w:val="single"/>
          <w:shd w:val="clear" w:color="auto" w:fill="FFFFFF"/>
        </w:rPr>
        <w:t>）</w:t>
      </w:r>
      <w:r>
        <w:rPr>
          <w:rStyle w:val="18"/>
          <w:rFonts w:hint="eastAsia" w:ascii="方正魏碑_GBK" w:hAnsi="方正魏碑_GBK" w:eastAsia="方正魏碑_GBK" w:cs="方正魏碑_GBK"/>
          <w:i w:val="0"/>
          <w:color w:val="auto"/>
          <w:sz w:val="24"/>
          <w:szCs w:val="24"/>
          <w:highlight w:val="none"/>
          <w:shd w:val="clear" w:color="auto" w:fill="FFFFFF"/>
          <w:vertAlign w:val="superscript"/>
        </w:rPr>
        <w:t>3</w:t>
      </w:r>
      <w:r>
        <w:rPr>
          <w:rFonts w:hint="eastAsia" w:ascii="方正魏碑_GBK" w:hAnsi="方正魏碑_GBK" w:eastAsia="方正魏碑_GBK" w:cs="方正魏碑_GBK"/>
          <w:color w:val="auto"/>
          <w:sz w:val="24"/>
          <w:szCs w:val="24"/>
          <w:highlight w:val="none"/>
          <w:shd w:val="clear" w:color="auto" w:fill="FFFFFF"/>
        </w:rPr>
        <w:t>。</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（产品名称1）</w:t>
      </w:r>
      <w:r>
        <w:rPr>
          <w:rFonts w:hint="eastAsia" w:ascii="方正魏碑_GBK" w:hAnsi="方正魏碑_GBK" w:eastAsia="方正魏碑_GBK" w:cs="方正魏碑_GBK"/>
          <w:color w:val="auto"/>
          <w:sz w:val="24"/>
          <w:szCs w:val="24"/>
          <w:highlight w:val="none"/>
          <w:shd w:val="clear" w:color="auto" w:fill="FFFFFF"/>
        </w:rPr>
        <w:t>的</w:t>
      </w:r>
      <w:r>
        <w:rPr>
          <w:rStyle w:val="18"/>
          <w:rFonts w:hint="eastAsia" w:ascii="方正魏碑_GBK" w:hAnsi="方正魏碑_GBK" w:eastAsia="方正魏碑_GBK" w:cs="方正魏碑_GBK"/>
          <w:i w:val="0"/>
          <w:color w:val="auto"/>
          <w:sz w:val="24"/>
          <w:szCs w:val="24"/>
          <w:highlight w:val="none"/>
          <w:u w:val="single"/>
          <w:shd w:val="clear" w:color="auto" w:fill="FFFFFF"/>
        </w:rPr>
        <w:t>（关键</w:t>
      </w:r>
      <w:r>
        <w:rPr>
          <w:rStyle w:val="18"/>
          <w:rFonts w:ascii="方正魏碑_GBK" w:hAnsi="方正魏碑_GBK" w:eastAsia="方正魏碑_GBK" w:cs="方正魏碑_GBK"/>
          <w:i w:val="0"/>
          <w:color w:val="auto"/>
          <w:sz w:val="24"/>
          <w:szCs w:val="24"/>
          <w:highlight w:val="none"/>
          <w:u w:val="single"/>
          <w:shd w:val="clear" w:color="auto" w:fill="FFFFFF"/>
        </w:rPr>
        <w:t>组件</w:t>
      </w:r>
      <w:r>
        <w:rPr>
          <w:rStyle w:val="18"/>
          <w:rFonts w:hint="eastAsia" w:ascii="方正魏碑_GBK" w:hAnsi="方正魏碑_GBK" w:eastAsia="方正魏碑_GBK" w:cs="方正魏碑_GBK"/>
          <w:i w:val="0"/>
          <w:color w:val="auto"/>
          <w:sz w:val="24"/>
          <w:szCs w:val="24"/>
          <w:highlight w:val="none"/>
          <w:u w:val="single"/>
          <w:shd w:val="clear" w:color="auto" w:fill="FFFFFF"/>
        </w:rPr>
        <w:t>）</w:t>
      </w:r>
      <w:r>
        <w:rPr>
          <w:rStyle w:val="18"/>
          <w:rFonts w:hint="eastAsia" w:ascii="方正魏碑_GBK" w:hAnsi="方正魏碑_GBK" w:eastAsia="方正魏碑_GBK" w:cs="方正魏碑_GBK"/>
          <w:i w:val="0"/>
          <w:color w:val="auto"/>
          <w:sz w:val="24"/>
          <w:szCs w:val="24"/>
          <w:highlight w:val="none"/>
          <w:shd w:val="clear" w:color="auto" w:fill="FFFFFF"/>
          <w:vertAlign w:val="superscript"/>
        </w:rPr>
        <w:t>4</w:t>
      </w:r>
      <w:r>
        <w:rPr>
          <w:rFonts w:hint="eastAsia" w:ascii="方正魏碑_GBK" w:hAnsi="方正魏碑_GBK" w:eastAsia="方正魏碑_GBK" w:cs="方正魏碑_GBK"/>
          <w:color w:val="auto"/>
          <w:sz w:val="24"/>
          <w:szCs w:val="24"/>
          <w:highlight w:val="none"/>
          <w:shd w:val="clear" w:color="auto" w:fill="FFFFFF"/>
        </w:rPr>
        <w:t>在中国境内生产。</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（产品名称1）</w:t>
      </w:r>
      <w:r>
        <w:rPr>
          <w:rFonts w:hint="eastAsia" w:ascii="方正魏碑_GBK" w:hAnsi="方正魏碑_GBK" w:eastAsia="方正魏碑_GBK" w:cs="方正魏碑_GBK"/>
          <w:color w:val="auto"/>
          <w:sz w:val="24"/>
          <w:szCs w:val="24"/>
          <w:highlight w:val="none"/>
          <w:shd w:val="clear" w:color="auto" w:fill="FFFFFF"/>
        </w:rPr>
        <w:t>的</w:t>
      </w:r>
      <w:r>
        <w:rPr>
          <w:rStyle w:val="18"/>
          <w:rFonts w:hint="eastAsia" w:ascii="方正魏碑_GBK" w:hAnsi="方正魏碑_GBK" w:eastAsia="方正魏碑_GBK" w:cs="方正魏碑_GBK"/>
          <w:i w:val="0"/>
          <w:color w:val="auto"/>
          <w:sz w:val="24"/>
          <w:szCs w:val="24"/>
          <w:highlight w:val="none"/>
          <w:u w:val="single"/>
          <w:shd w:val="clear" w:color="auto" w:fill="FFFFFF"/>
        </w:rPr>
        <w:t>（关键工序）</w:t>
      </w:r>
      <w:r>
        <w:rPr>
          <w:rStyle w:val="18"/>
          <w:rFonts w:hint="eastAsia" w:ascii="方正魏碑_GBK" w:hAnsi="方正魏碑_GBK" w:eastAsia="方正魏碑_GBK" w:cs="方正魏碑_GBK"/>
          <w:i w:val="0"/>
          <w:color w:val="auto"/>
          <w:sz w:val="24"/>
          <w:szCs w:val="24"/>
          <w:highlight w:val="none"/>
          <w:shd w:val="clear" w:color="auto" w:fill="FFFFFF"/>
          <w:vertAlign w:val="superscript"/>
        </w:rPr>
        <w:t>5</w:t>
      </w:r>
      <w:r>
        <w:rPr>
          <w:rFonts w:hint="eastAsia" w:ascii="方正魏碑_GBK" w:hAnsi="方正魏碑_GBK" w:eastAsia="方正魏碑_GBK" w:cs="方正魏碑_GBK"/>
          <w:color w:val="auto"/>
          <w:sz w:val="24"/>
          <w:szCs w:val="24"/>
          <w:highlight w:val="none"/>
          <w:shd w:val="clear" w:color="auto" w:fill="FFFFFF"/>
        </w:rPr>
        <w:t>在中国境内完成。</w:t>
      </w:r>
    </w:p>
    <w:p w14:paraId="49FCCFC3">
      <w:pPr>
        <w:pStyle w:val="13"/>
        <w:spacing w:before="30" w:beforeAutospacing="0" w:after="30" w:afterAutospacing="0" w:line="360" w:lineRule="auto"/>
        <w:ind w:firstLine="420"/>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73600" behindDoc="0" locked="0" layoutInCell="1" allowOverlap="1">
                <wp:simplePos x="0" y="0"/>
                <wp:positionH relativeFrom="column">
                  <wp:posOffset>4780915</wp:posOffset>
                </wp:positionH>
                <wp:positionV relativeFrom="paragraph">
                  <wp:posOffset>271780</wp:posOffset>
                </wp:positionV>
                <wp:extent cx="462280" cy="147320"/>
                <wp:effectExtent l="1270" t="4445" r="12700" b="19685"/>
                <wp:wrapNone/>
                <wp:docPr id="13" name="直接箭头连接符 13"/>
                <wp:cNvGraphicFramePr/>
                <a:graphic xmlns:a="http://schemas.openxmlformats.org/drawingml/2006/main">
                  <a:graphicData uri="http://schemas.microsoft.com/office/word/2010/wordprocessingShape">
                    <wps:wsp>
                      <wps:cNvCnPr/>
                      <wps:spPr>
                        <a:xfrm flipV="1">
                          <a:off x="0" y="0"/>
                          <a:ext cx="462280" cy="14732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D0Vvk1wAAAAkBAAAPAAAAAAAAAAEA&#10;IAAAACIAAABkcnMvZG93bnJldi54bWxQSwECFAAUAAAACACHTuJAUw/95BACAAAKBAAADgAAAAAA&#10;AAABACAAAAAmAQAAZHJzL2Uyb0RvYy54bWxQSwUGAAAAAAYABgBZAQAAqA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74624" behindDoc="0" locked="0" layoutInCell="1" allowOverlap="1">
                <wp:simplePos x="0" y="0"/>
                <wp:positionH relativeFrom="column">
                  <wp:posOffset>12700</wp:posOffset>
                </wp:positionH>
                <wp:positionV relativeFrom="paragraph">
                  <wp:posOffset>511810</wp:posOffset>
                </wp:positionV>
                <wp:extent cx="424815" cy="112395"/>
                <wp:effectExtent l="1270" t="4445" r="12065" b="16510"/>
                <wp:wrapNone/>
                <wp:docPr id="15" name="直接箭头连接符 15"/>
                <wp:cNvGraphicFramePr/>
                <a:graphic xmlns:a="http://schemas.openxmlformats.org/drawingml/2006/main">
                  <a:graphicData uri="http://schemas.microsoft.com/office/word/2010/wordprocessingShape">
                    <wps:wsp>
                      <wps:cNvCnPr/>
                      <wps:spPr>
                        <a:xfrm flipV="1">
                          <a:off x="0" y="0"/>
                          <a:ext cx="424815" cy="11239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rqp4ydUAAAAGAQAADwAAAAAAAAABACAAAAAi&#10;AAAAZHJzL2Rvd25yZXYueG1sUEsBAhQAFAAAAAgAh07iQNe/mA0NAgAACgQAAA4AAAAAAAAAAQAg&#10;AAAAJAEAAGRycy9lMm9Eb2MueG1sUEsFBgAAAAAGAAYAWQEAAKMFA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72576" behindDoc="0" locked="0" layoutInCell="1" allowOverlap="1">
                <wp:simplePos x="0" y="0"/>
                <wp:positionH relativeFrom="column">
                  <wp:posOffset>-25400</wp:posOffset>
                </wp:positionH>
                <wp:positionV relativeFrom="paragraph">
                  <wp:posOffset>288290</wp:posOffset>
                </wp:positionV>
                <wp:extent cx="234315" cy="86995"/>
                <wp:effectExtent l="1905" t="4445" r="11430" b="22860"/>
                <wp:wrapNone/>
                <wp:docPr id="17" name="直接箭头连接符 17"/>
                <wp:cNvGraphicFramePr/>
                <a:graphic xmlns:a="http://schemas.openxmlformats.org/drawingml/2006/main">
                  <a:graphicData uri="http://schemas.microsoft.com/office/word/2010/wordprocessingShape">
                    <wps:wsp>
                      <wps:cNvCnPr/>
                      <wps:spPr>
                        <a:xfrm flipV="1">
                          <a:off x="0" y="0"/>
                          <a:ext cx="234315" cy="8699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BlUFDHXAAAABwEAAA8AAAAAAAAAAQAgAAAA&#10;IgAAAGRycy9kb3ducmV2LnhtbFBLAQIUABQAAAAIAIdO4kDnQYTqDAIAAAkEAAAOAAAAAAAAAAEA&#10;IAAAACYBAABkcnMvZTJvRG9jLnhtbFBLBQYAAAAABgAGAFkBAACk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71552" behindDoc="0" locked="0" layoutInCell="1" allowOverlap="1">
                <wp:simplePos x="0" y="0"/>
                <wp:positionH relativeFrom="column">
                  <wp:posOffset>4476115</wp:posOffset>
                </wp:positionH>
                <wp:positionV relativeFrom="paragraph">
                  <wp:posOffset>59690</wp:posOffset>
                </wp:positionV>
                <wp:extent cx="718185" cy="97790"/>
                <wp:effectExtent l="635" t="4445" r="5080" b="12065"/>
                <wp:wrapNone/>
                <wp:docPr id="19" name="直接箭头连接符 19"/>
                <wp:cNvGraphicFramePr/>
                <a:graphic xmlns:a="http://schemas.openxmlformats.org/drawingml/2006/main">
                  <a:graphicData uri="http://schemas.microsoft.com/office/word/2010/wordprocessingShape">
                    <wps:wsp>
                      <wps:cNvCnPr/>
                      <wps:spPr>
                        <a:xfrm flipV="1">
                          <a:off x="0" y="0"/>
                          <a:ext cx="718185" cy="9779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785Zu1wAAAAgBAAAPAAAAAAAAAAEAIAAA&#10;ACIAAABkcnMvZG93bnJldi54bWxQSwECFAAUAAAACACHTuJAIjWflw0CAAAJBAAADgAAAAAAAAAB&#10;ACAAAAAmAQAAZHJzL2Uyb0RvYy54bWxQSwUGAAAAAAYABgBZAQAApQ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1734185</wp:posOffset>
                </wp:positionH>
                <wp:positionV relativeFrom="paragraph">
                  <wp:posOffset>483235</wp:posOffset>
                </wp:positionV>
                <wp:extent cx="908685" cy="140970"/>
                <wp:effectExtent l="635" t="4445" r="5080" b="6985"/>
                <wp:wrapNone/>
                <wp:docPr id="20" name="直接箭头连接符 20"/>
                <wp:cNvGraphicFramePr/>
                <a:graphic xmlns:a="http://schemas.openxmlformats.org/drawingml/2006/main">
                  <a:graphicData uri="http://schemas.microsoft.com/office/word/2010/wordprocessingShape">
                    <wps:wsp>
                      <wps:cNvCnPr/>
                      <wps:spPr>
                        <a:xfrm flipV="1">
                          <a:off x="0" y="0"/>
                          <a:ext cx="908685" cy="14097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XUvHTYAAAACQEAAA8AAAAAAAAAAQAg&#10;AAAAIgAAAGRycy9kb3ducmV2LnhtbFBLAQIUABQAAAAIAIdO4kCtHsLJDgIAAAoEAAAOAAAAAAAA&#10;AAEAIAAAACcBAABkcnMvZTJvRG9jLnhtbFBLBQYAAAAABgAGAFkBAACn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5408" behindDoc="0" locked="0" layoutInCell="1" allowOverlap="1">
                <wp:simplePos x="0" y="0"/>
                <wp:positionH relativeFrom="column">
                  <wp:posOffset>2914015</wp:posOffset>
                </wp:positionH>
                <wp:positionV relativeFrom="paragraph">
                  <wp:posOffset>511810</wp:posOffset>
                </wp:positionV>
                <wp:extent cx="821690" cy="102870"/>
                <wp:effectExtent l="635" t="4445" r="15875" b="6985"/>
                <wp:wrapNone/>
                <wp:docPr id="21" name="直接箭头连接符 21"/>
                <wp:cNvGraphicFramePr/>
                <a:graphic xmlns:a="http://schemas.openxmlformats.org/drawingml/2006/main">
                  <a:graphicData uri="http://schemas.microsoft.com/office/word/2010/wordprocessingShape">
                    <wps:wsp>
                      <wps:cNvCnPr/>
                      <wps:spPr>
                        <a:xfrm flipV="1">
                          <a:off x="0" y="0"/>
                          <a:ext cx="821690" cy="10287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OvDXj1wAAAAkBAAAPAAAAAAAAAAEA&#10;IAAAACIAAABkcnMvZG93bnJldi54bWxQSwECFAAUAAAACACHTuJAYixLwBACAAAKBAAADgAAAAAA&#10;AAABACAAAAAmAQAAZHJzL2Uyb0RvYy54bWxQSwUGAAAAAAYABgBZAQAAqA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3360" behindDoc="0" locked="0" layoutInCell="1" allowOverlap="1">
                <wp:simplePos x="0" y="0"/>
                <wp:positionH relativeFrom="column">
                  <wp:posOffset>3615690</wp:posOffset>
                </wp:positionH>
                <wp:positionV relativeFrom="paragraph">
                  <wp:posOffset>277495</wp:posOffset>
                </wp:positionV>
                <wp:extent cx="849630" cy="120015"/>
                <wp:effectExtent l="635" t="4445" r="6985" b="8890"/>
                <wp:wrapNone/>
                <wp:docPr id="16" name="直接箭头连接符 16"/>
                <wp:cNvGraphicFramePr/>
                <a:graphic xmlns:a="http://schemas.openxmlformats.org/drawingml/2006/main">
                  <a:graphicData uri="http://schemas.microsoft.com/office/word/2010/wordprocessingShape">
                    <wps:wsp>
                      <wps:cNvCnPr/>
                      <wps:spPr>
                        <a:xfrm flipV="1">
                          <a:off x="0" y="0"/>
                          <a:ext cx="849630" cy="12001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cRp2j2AAAAAkBAAAPAAAAAAAAAAEAIAAA&#10;ACIAAABkcnMvZG93bnJldi54bWxQSwECFAAUAAAACACHTuJAunDdugwCAAAKBAAADgAAAAAAAAAB&#10;ACAAAAAnAQAAZHJzL2Uyb0RvYy54bWxQSwUGAAAAAAYABgBZAQAApQU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rPr>
        <mc:AlternateContent>
          <mc:Choice Requires="wps">
            <w:drawing>
              <wp:anchor distT="0" distB="0" distL="114300" distR="114300" simplePos="0" relativeHeight="251662336" behindDoc="0" locked="0" layoutInCell="1" allowOverlap="1">
                <wp:simplePos x="0" y="0"/>
                <wp:positionH relativeFrom="column">
                  <wp:posOffset>2554605</wp:posOffset>
                </wp:positionH>
                <wp:positionV relativeFrom="paragraph">
                  <wp:posOffset>271780</wp:posOffset>
                </wp:positionV>
                <wp:extent cx="843915" cy="125730"/>
                <wp:effectExtent l="635" t="4445" r="12700" b="22225"/>
                <wp:wrapNone/>
                <wp:docPr id="18" name="直接箭头连接符 18"/>
                <wp:cNvGraphicFramePr/>
                <a:graphic xmlns:a="http://schemas.openxmlformats.org/drawingml/2006/main">
                  <a:graphicData uri="http://schemas.microsoft.com/office/word/2010/wordprocessingShape">
                    <wps:wsp>
                      <wps:cNvCnPr/>
                      <wps:spPr>
                        <a:xfrm flipV="1">
                          <a:off x="0" y="0"/>
                          <a:ext cx="843915" cy="125730"/>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SyQJDXAAAACQEAAA8AAAAAAAAAAQAg&#10;AAAAIgAAAGRycy9kb3ducmV2LnhtbFBLAQIUABQAAAAIAIdO4kDqSNLDDwIAAAoEAAAOAAAAAAAA&#10;AAEAIAAAACYBAABkcnMvZTJvRG9jLnhtbFBLBQYAAAAABgAGAFkBAACnBQAAAAA=&#10;">
                <v:fill on="f" focussize="0,0"/>
                <v:stroke color="#000000" joinstyle="round"/>
                <v:imagedata o:title=""/>
                <o:lock v:ext="edit" aspectratio="f"/>
              </v:shape>
            </w:pict>
          </mc:Fallback>
        </mc:AlternateContent>
      </w:r>
      <w:r>
        <w:rPr>
          <w:rFonts w:hint="eastAsia" w:ascii="方正魏碑_GBK" w:hAnsi="方正魏碑_GBK" w:eastAsia="方正魏碑_GBK" w:cs="方正魏碑_GBK"/>
          <w:color w:val="auto"/>
          <w:sz w:val="24"/>
          <w:szCs w:val="24"/>
          <w:highlight w:val="none"/>
          <w:shd w:val="clear" w:color="auto" w:fill="FFFFFF"/>
        </w:rPr>
        <w:t>2.</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（产品名称2）</w:t>
      </w:r>
      <w:r>
        <w:rPr>
          <w:rFonts w:hint="eastAsia" w:ascii="方正魏碑_GBK" w:hAnsi="方正魏碑_GBK" w:eastAsia="方正魏碑_GBK" w:cs="方正魏碑_GBK"/>
          <w:color w:val="auto"/>
          <w:sz w:val="24"/>
          <w:szCs w:val="24"/>
          <w:highlight w:val="none"/>
          <w:shd w:val="clear" w:color="auto" w:fill="FFFFFF"/>
        </w:rPr>
        <w:t>，生产厂为</w:t>
      </w:r>
      <w:r>
        <w:rPr>
          <w:rStyle w:val="18"/>
          <w:rFonts w:hint="eastAsia" w:ascii="方正魏碑_GBK" w:hAnsi="方正魏碑_GBK" w:eastAsia="方正魏碑_GBK" w:cs="方正魏碑_GBK"/>
          <w:i w:val="0"/>
          <w:color w:val="auto"/>
          <w:sz w:val="24"/>
          <w:szCs w:val="24"/>
          <w:highlight w:val="none"/>
          <w:u w:val="single"/>
          <w:shd w:val="clear" w:color="auto" w:fill="FFFFFF"/>
        </w:rPr>
        <w:t>（厂名）</w:t>
      </w:r>
      <w:r>
        <w:rPr>
          <w:rFonts w:hint="eastAsia" w:ascii="方正魏碑_GBK" w:hAnsi="方正魏碑_GBK" w:eastAsia="方正魏碑_GBK" w:cs="方正魏碑_GBK"/>
          <w:color w:val="auto"/>
          <w:sz w:val="24"/>
          <w:szCs w:val="24"/>
          <w:highlight w:val="none"/>
          <w:shd w:val="clear" w:color="auto" w:fill="FFFFFF"/>
        </w:rPr>
        <w:t>，厂址为</w:t>
      </w:r>
      <w:r>
        <w:rPr>
          <w:rStyle w:val="18"/>
          <w:rFonts w:hint="eastAsia" w:ascii="方正魏碑_GBK" w:hAnsi="方正魏碑_GBK" w:eastAsia="方正魏碑_GBK" w:cs="方正魏碑_GBK"/>
          <w:i w:val="0"/>
          <w:color w:val="auto"/>
          <w:sz w:val="24"/>
          <w:szCs w:val="24"/>
          <w:highlight w:val="none"/>
          <w:u w:val="single"/>
          <w:shd w:val="clear" w:color="auto" w:fill="FFFFFF"/>
        </w:rPr>
        <w:t>（生产厂址）</w:t>
      </w:r>
      <w:r>
        <w:rPr>
          <w:rFonts w:hint="eastAsia" w:ascii="方正魏碑_GBK" w:hAnsi="方正魏碑_GBK" w:eastAsia="方正魏碑_GBK" w:cs="方正魏碑_GBK"/>
          <w:color w:val="auto"/>
          <w:sz w:val="24"/>
          <w:szCs w:val="24"/>
          <w:highlight w:val="none"/>
          <w:shd w:val="clear" w:color="auto" w:fill="FFFFFF"/>
        </w:rPr>
        <w:t>。</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（产品名称2）</w:t>
      </w:r>
      <w:r>
        <w:rPr>
          <w:rFonts w:hint="eastAsia" w:ascii="方正魏碑_GBK" w:hAnsi="方正魏碑_GBK" w:eastAsia="方正魏碑_GBK" w:cs="方正魏碑_GBK"/>
          <w:color w:val="auto"/>
          <w:sz w:val="24"/>
          <w:szCs w:val="24"/>
          <w:highlight w:val="none"/>
          <w:shd w:val="clear" w:color="auto" w:fill="FFFFFF"/>
        </w:rPr>
        <w:t>的中国境内生产的组件成本占比≥</w:t>
      </w:r>
      <w:r>
        <w:rPr>
          <w:rStyle w:val="18"/>
          <w:rFonts w:hint="eastAsia" w:ascii="方正魏碑_GBK" w:hAnsi="方正魏碑_GBK" w:eastAsia="方正魏碑_GBK" w:cs="方正魏碑_GBK"/>
          <w:i w:val="0"/>
          <w:color w:val="auto"/>
          <w:sz w:val="24"/>
          <w:szCs w:val="24"/>
          <w:highlight w:val="none"/>
          <w:u w:val="single"/>
          <w:shd w:val="clear" w:color="auto" w:fill="FFFFFF"/>
        </w:rPr>
        <w:t>（规定</w:t>
      </w:r>
      <w:r>
        <w:rPr>
          <w:rStyle w:val="18"/>
          <w:rFonts w:ascii="方正魏碑_GBK" w:hAnsi="方正魏碑_GBK" w:eastAsia="方正魏碑_GBK" w:cs="方正魏碑_GBK"/>
          <w:i w:val="0"/>
          <w:color w:val="auto"/>
          <w:sz w:val="24"/>
          <w:szCs w:val="24"/>
          <w:highlight w:val="none"/>
          <w:u w:val="single"/>
          <w:shd w:val="clear" w:color="auto" w:fill="FFFFFF"/>
        </w:rPr>
        <w:t>比例</w:t>
      </w:r>
      <w:r>
        <w:rPr>
          <w:rStyle w:val="18"/>
          <w:rFonts w:hint="eastAsia" w:ascii="方正魏碑_GBK" w:hAnsi="方正魏碑_GBK" w:eastAsia="方正魏碑_GBK" w:cs="方正魏碑_GBK"/>
          <w:i w:val="0"/>
          <w:color w:val="auto"/>
          <w:sz w:val="24"/>
          <w:szCs w:val="24"/>
          <w:highlight w:val="none"/>
          <w:u w:val="single"/>
          <w:shd w:val="clear" w:color="auto" w:fill="FFFFFF"/>
        </w:rPr>
        <w:t>）</w:t>
      </w:r>
      <w:r>
        <w:rPr>
          <w:rFonts w:hint="eastAsia" w:ascii="方正魏碑_GBK" w:hAnsi="方正魏碑_GBK" w:eastAsia="方正魏碑_GBK" w:cs="方正魏碑_GBK"/>
          <w:color w:val="auto"/>
          <w:sz w:val="24"/>
          <w:szCs w:val="24"/>
          <w:highlight w:val="none"/>
          <w:shd w:val="clear" w:color="auto" w:fill="FFFFFF"/>
        </w:rPr>
        <w:t>。</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（产品名称2）</w:t>
      </w:r>
      <w:r>
        <w:rPr>
          <w:rFonts w:hint="eastAsia" w:ascii="方正魏碑_GBK" w:hAnsi="方正魏碑_GBK" w:eastAsia="方正魏碑_GBK" w:cs="方正魏碑_GBK"/>
          <w:color w:val="auto"/>
          <w:sz w:val="24"/>
          <w:szCs w:val="24"/>
          <w:highlight w:val="none"/>
          <w:shd w:val="clear" w:color="auto" w:fill="FFFFFF"/>
        </w:rPr>
        <w:t>的</w:t>
      </w:r>
      <w:r>
        <w:rPr>
          <w:rStyle w:val="18"/>
          <w:rFonts w:hint="eastAsia" w:ascii="方正魏碑_GBK" w:hAnsi="方正魏碑_GBK" w:eastAsia="方正魏碑_GBK" w:cs="方正魏碑_GBK"/>
          <w:i w:val="0"/>
          <w:color w:val="auto"/>
          <w:sz w:val="24"/>
          <w:szCs w:val="24"/>
          <w:highlight w:val="none"/>
          <w:u w:val="single"/>
          <w:shd w:val="clear" w:color="auto" w:fill="FFFFFF"/>
        </w:rPr>
        <w:t>（关键</w:t>
      </w:r>
      <w:r>
        <w:rPr>
          <w:rStyle w:val="18"/>
          <w:rFonts w:ascii="方正魏碑_GBK" w:hAnsi="方正魏碑_GBK" w:eastAsia="方正魏碑_GBK" w:cs="方正魏碑_GBK"/>
          <w:i w:val="0"/>
          <w:color w:val="auto"/>
          <w:sz w:val="24"/>
          <w:szCs w:val="24"/>
          <w:highlight w:val="none"/>
          <w:u w:val="single"/>
          <w:shd w:val="clear" w:color="auto" w:fill="FFFFFF"/>
        </w:rPr>
        <w:t>组件</w:t>
      </w:r>
      <w:r>
        <w:rPr>
          <w:rStyle w:val="18"/>
          <w:rFonts w:hint="eastAsia" w:ascii="方正魏碑_GBK" w:hAnsi="方正魏碑_GBK" w:eastAsia="方正魏碑_GBK" w:cs="方正魏碑_GBK"/>
          <w:i w:val="0"/>
          <w:color w:val="auto"/>
          <w:sz w:val="24"/>
          <w:szCs w:val="24"/>
          <w:highlight w:val="none"/>
          <w:u w:val="single"/>
          <w:shd w:val="clear" w:color="auto" w:fill="FFFFFF"/>
        </w:rPr>
        <w:t>）</w:t>
      </w:r>
      <w:r>
        <w:rPr>
          <w:rFonts w:hint="eastAsia" w:ascii="方正魏碑_GBK" w:hAnsi="方正魏碑_GBK" w:eastAsia="方正魏碑_GBK" w:cs="方正魏碑_GBK"/>
          <w:color w:val="auto"/>
          <w:sz w:val="24"/>
          <w:szCs w:val="24"/>
          <w:highlight w:val="none"/>
          <w:shd w:val="clear" w:color="auto" w:fill="FFFFFF"/>
        </w:rPr>
        <w:t>在中国境内生产。</w:t>
      </w:r>
      <w:r>
        <w:rPr>
          <w:rStyle w:val="18"/>
          <w:rFonts w:hint="eastAsia" w:ascii="方正魏碑_GBK" w:hAnsi="方正魏碑_GBK" w:eastAsia="方正魏碑_GBK" w:cs="方正魏碑_GBK"/>
          <w:i w:val="0"/>
          <w:color w:val="auto"/>
          <w:sz w:val="24"/>
          <w:szCs w:val="24"/>
          <w:highlight w:val="none"/>
          <w:u w:val="single"/>
          <w:shd w:val="clear" w:color="auto" w:fill="FFFFFF"/>
        </w:rPr>
        <w:t>（产品名称1）</w:t>
      </w:r>
      <w:r>
        <w:rPr>
          <w:rFonts w:hint="eastAsia" w:ascii="方正魏碑_GBK" w:hAnsi="方正魏碑_GBK" w:eastAsia="方正魏碑_GBK" w:cs="方正魏碑_GBK"/>
          <w:color w:val="auto"/>
          <w:sz w:val="24"/>
          <w:szCs w:val="24"/>
          <w:highlight w:val="none"/>
          <w:shd w:val="clear" w:color="auto" w:fill="FFFFFF"/>
        </w:rPr>
        <w:t>的</w:t>
      </w:r>
      <w:r>
        <w:rPr>
          <w:rStyle w:val="18"/>
          <w:rFonts w:hint="eastAsia" w:ascii="方正魏碑_GBK" w:hAnsi="方正魏碑_GBK" w:eastAsia="方正魏碑_GBK" w:cs="方正魏碑_GBK"/>
          <w:i w:val="0"/>
          <w:color w:val="auto"/>
          <w:sz w:val="24"/>
          <w:szCs w:val="24"/>
          <w:highlight w:val="none"/>
          <w:u w:val="single"/>
          <w:shd w:val="clear" w:color="auto" w:fill="FFFFFF"/>
        </w:rPr>
        <w:t>（关键工序）</w:t>
      </w:r>
      <w:r>
        <w:rPr>
          <w:rFonts w:hint="eastAsia" w:ascii="方正魏碑_GBK" w:hAnsi="方正魏碑_GBK" w:eastAsia="方正魏碑_GBK" w:cs="方正魏碑_GBK"/>
          <w:color w:val="auto"/>
          <w:sz w:val="24"/>
          <w:szCs w:val="24"/>
          <w:highlight w:val="none"/>
          <w:shd w:val="clear" w:color="auto" w:fill="FFFFFF"/>
        </w:rPr>
        <w:t>在中国境内完成。</w:t>
      </w:r>
    </w:p>
    <w:p w14:paraId="15ED2D21">
      <w:pPr>
        <w:pStyle w:val="13"/>
        <w:spacing w:before="30" w:beforeAutospacing="0" w:after="30" w:afterAutospacing="0" w:line="360" w:lineRule="auto"/>
        <w:ind w:firstLine="420"/>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w:t>
      </w:r>
    </w:p>
    <w:p w14:paraId="3AD7C974">
      <w:pPr>
        <w:pStyle w:val="13"/>
        <w:spacing w:before="30" w:beforeAutospacing="0" w:after="30" w:afterAutospacing="0" w:line="360" w:lineRule="auto"/>
        <w:ind w:firstLine="420"/>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本公司（单位）对上述声明内容的真实性负责。如有虚假，愿承担相应法律责任。</w:t>
      </w:r>
    </w:p>
    <w:p w14:paraId="5A061A4A">
      <w:pPr>
        <w:pStyle w:val="13"/>
        <w:spacing w:before="30" w:beforeAutospacing="0" w:after="30" w:afterAutospacing="0" w:line="360" w:lineRule="auto"/>
        <w:rPr>
          <w:rFonts w:hint="eastAsia" w:ascii="方正魏碑_GBK" w:hAnsi="方正魏碑_GBK" w:eastAsia="方正魏碑_GBK" w:cs="方正魏碑_GBK"/>
          <w:color w:val="auto"/>
          <w:sz w:val="24"/>
          <w:szCs w:val="24"/>
          <w:highlight w:val="none"/>
        </w:rPr>
      </w:pPr>
    </w:p>
    <w:p w14:paraId="459FF027">
      <w:pPr>
        <w:pStyle w:val="13"/>
        <w:spacing w:before="30" w:beforeAutospacing="0" w:after="30" w:afterAutospacing="0" w:line="360" w:lineRule="auto"/>
        <w:ind w:right="480"/>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公司（单位）名称（盖章）：　       </w:t>
      </w:r>
    </w:p>
    <w:p w14:paraId="741E34AB">
      <w:pPr>
        <w:pStyle w:val="13"/>
        <w:spacing w:before="30" w:beforeAutospacing="0" w:after="30" w:afterAutospacing="0" w:line="360" w:lineRule="auto"/>
        <w:jc w:val="both"/>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日期：　   年　  月　  日         </w:t>
      </w:r>
    </w:p>
    <w:p w14:paraId="135375C7">
      <w:pPr>
        <w:pStyle w:val="13"/>
        <w:spacing w:before="30" w:beforeAutospacing="0" w:after="30" w:afterAutospacing="0" w:line="360" w:lineRule="auto"/>
        <w:rPr>
          <w:rFonts w:hint="eastAsia" w:ascii="方正魏碑_GBK" w:hAnsi="方正魏碑_GBK" w:eastAsia="方正魏碑_GBK" w:cs="方正魏碑_GBK"/>
          <w:color w:val="auto"/>
          <w:sz w:val="24"/>
          <w:szCs w:val="24"/>
          <w:highlight w:val="none"/>
          <w:shd w:val="clear" w:color="auto" w:fill="FFFFFF"/>
        </w:rPr>
      </w:pPr>
    </w:p>
    <w:p w14:paraId="37E9F229">
      <w:pPr>
        <w:pStyle w:val="13"/>
        <w:spacing w:before="30" w:beforeAutospacing="0" w:after="30" w:afterAutospacing="0" w:line="360" w:lineRule="auto"/>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1.产品如有型号，请在“产品名称”栏一并填写。</w:t>
      </w:r>
    </w:p>
    <w:p w14:paraId="0A3CBF04">
      <w:pPr>
        <w:pStyle w:val="13"/>
        <w:spacing w:before="30" w:beforeAutospacing="0" w:after="30" w:afterAutospacing="0" w:line="360" w:lineRule="auto"/>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2.生产厂名与厂址应与生产厂营业执照载明的相关信息保持一致。</w:t>
      </w:r>
    </w:p>
    <w:p w14:paraId="61093C9B">
      <w:pPr>
        <w:pStyle w:val="13"/>
        <w:spacing w:before="30" w:beforeAutospacing="0" w:after="30" w:afterAutospacing="0" w:line="360" w:lineRule="auto"/>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3.该产品的中国境内生产的组件成本占比相关要求实施前，“规定比例”栏可不填，下同。</w:t>
      </w:r>
    </w:p>
    <w:p w14:paraId="37802EFB">
      <w:pPr>
        <w:pStyle w:val="13"/>
        <w:spacing w:before="30" w:beforeAutospacing="0" w:after="30" w:afterAutospacing="0" w:line="360" w:lineRule="auto"/>
        <w:rPr>
          <w:rFonts w:hint="eastAsia" w:ascii="方正魏碑_GBK" w:hAnsi="方正魏碑_GBK" w:eastAsia="方正魏碑_GBK" w:cs="方正魏碑_GBK"/>
          <w:color w:val="auto"/>
          <w:sz w:val="24"/>
          <w:szCs w:val="24"/>
          <w:highlight w:val="none"/>
        </w:rPr>
      </w:pPr>
      <w:r>
        <w:rPr>
          <w:rFonts w:hint="eastAsia" w:ascii="方正魏碑_GBK" w:hAnsi="方正魏碑_GBK" w:eastAsia="方正魏碑_GBK" w:cs="方正魏碑_GBK"/>
          <w:color w:val="auto"/>
          <w:sz w:val="24"/>
          <w:szCs w:val="24"/>
          <w:highlight w:val="none"/>
          <w:shd w:val="clear" w:color="auto" w:fill="FFFFFF"/>
        </w:rPr>
        <w:t>4.该产品的关键组件要求实施前，“关键组件”栏可不填，下同。</w:t>
      </w:r>
    </w:p>
    <w:p w14:paraId="573D374F">
      <w:pPr>
        <w:pStyle w:val="13"/>
        <w:spacing w:before="30" w:beforeAutospacing="0" w:after="30" w:afterAutospacing="0" w:line="360" w:lineRule="auto"/>
        <w:rPr>
          <w:rFonts w:ascii="方正魏碑_GBK" w:hAnsi="方正魏碑_GBK" w:eastAsia="方正魏碑_GBK" w:cs="方正魏碑_GBK"/>
          <w:color w:val="auto"/>
          <w:sz w:val="24"/>
          <w:szCs w:val="24"/>
          <w:highlight w:val="none"/>
          <w:shd w:val="clear" w:color="auto" w:fill="FFFFFF"/>
        </w:rPr>
      </w:pPr>
      <w:r>
        <w:rPr>
          <w:rFonts w:hint="eastAsia" w:ascii="方正魏碑_GBK" w:hAnsi="方正魏碑_GBK" w:eastAsia="方正魏碑_GBK" w:cs="方正魏碑_GBK"/>
          <w:color w:val="auto"/>
          <w:sz w:val="24"/>
          <w:szCs w:val="24"/>
          <w:highlight w:val="none"/>
          <w:shd w:val="clear" w:color="auto" w:fill="FFFFFF"/>
        </w:rPr>
        <w:t>5.该产品的关键工序要求实施前，“关键工序”栏可不填，下同。</w:t>
      </w:r>
    </w:p>
    <w:p w14:paraId="5E6FE653">
      <w:pPr>
        <w:pStyle w:val="13"/>
        <w:spacing w:before="30" w:beforeAutospacing="0" w:after="30" w:afterAutospacing="0" w:line="360" w:lineRule="auto"/>
        <w:rPr>
          <w:rFonts w:ascii="方正魏碑_GBK" w:hAnsi="方正魏碑_GBK" w:eastAsia="方正魏碑_GBK" w:cs="方正魏碑_GBK"/>
          <w:color w:val="auto"/>
          <w:sz w:val="24"/>
          <w:szCs w:val="24"/>
          <w:highlight w:val="none"/>
          <w:shd w:val="clear" w:color="auto" w:fill="FFFFFF"/>
        </w:rPr>
      </w:pPr>
      <w:r>
        <w:rPr>
          <w:rFonts w:hint="eastAsia" w:ascii="方正魏碑_GBK" w:hAnsi="方正魏碑_GBK" w:eastAsia="方正魏碑_GBK" w:cs="方正魏碑_GBK"/>
          <w:color w:val="auto"/>
          <w:sz w:val="24"/>
          <w:szCs w:val="24"/>
          <w:highlight w:val="none"/>
          <w:shd w:val="clear" w:color="auto" w:fill="FFFFFF"/>
        </w:rPr>
        <w:t>6.用斜线划除的地方无需填写。</w:t>
      </w:r>
    </w:p>
    <w:p w14:paraId="1C745A64">
      <w:pPr>
        <w:rPr>
          <w:rFonts w:hAnsi="宋体" w:cs="宋体"/>
          <w:b/>
          <w:bCs/>
          <w:color w:val="auto"/>
          <w:sz w:val="28"/>
          <w:szCs w:val="28"/>
          <w:highlight w:val="none"/>
        </w:rPr>
      </w:pPr>
      <w:r>
        <w:rPr>
          <w:rFonts w:hAnsi="宋体" w:cs="宋体"/>
          <w:b/>
          <w:bCs/>
          <w:color w:val="auto"/>
          <w:sz w:val="28"/>
          <w:szCs w:val="28"/>
          <w:highlight w:val="none"/>
        </w:rPr>
        <w:br w:type="page"/>
      </w:r>
    </w:p>
    <w:p w14:paraId="132F8418">
      <w:pPr>
        <w:pStyle w:val="3"/>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9</w:t>
      </w:r>
      <w:r>
        <w:rPr>
          <w:rFonts w:hint="eastAsia" w:hAnsi="宋体" w:cs="宋体"/>
          <w:b/>
          <w:bCs/>
          <w:color w:val="auto"/>
          <w:sz w:val="28"/>
          <w:szCs w:val="28"/>
          <w:highlight w:val="none"/>
        </w:rPr>
        <w:t>.企业声明函</w:t>
      </w:r>
    </w:p>
    <w:p w14:paraId="2B1A4175">
      <w:pPr>
        <w:spacing w:line="560" w:lineRule="exact"/>
        <w:ind w:firstLine="321" w:firstLineChars="100"/>
        <w:jc w:val="center"/>
        <w:rPr>
          <w:rFonts w:ascii="黑体" w:hAnsi="黑体" w:eastAsia="黑体"/>
          <w:b/>
          <w:color w:val="auto"/>
          <w:sz w:val="32"/>
          <w:szCs w:val="32"/>
          <w:highlight w:val="none"/>
        </w:rPr>
      </w:pPr>
    </w:p>
    <w:p w14:paraId="199AB1CF">
      <w:pPr>
        <w:spacing w:line="560" w:lineRule="exact"/>
        <w:ind w:firstLine="321" w:firstLineChars="10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中小企业声明函</w:t>
      </w:r>
    </w:p>
    <w:p w14:paraId="62882ADC">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color w:val="auto"/>
          <w:sz w:val="24"/>
          <w:szCs w:val="24"/>
          <w:highlight w:val="none"/>
          <w:u w:val="single"/>
        </w:rPr>
        <w:t xml:space="preserve"> （单位名称） </w:t>
      </w:r>
      <w:r>
        <w:rPr>
          <w:rFonts w:hint="eastAsia" w:asciiTheme="minorEastAsia" w:hAnsiTheme="minorEastAsia" w:eastAsiaTheme="minorEastAsia" w:cstheme="minorEastAsia"/>
          <w:color w:val="auto"/>
          <w:sz w:val="24"/>
          <w:szCs w:val="24"/>
          <w:highlight w:val="none"/>
        </w:rPr>
        <w:t>的</w:t>
      </w:r>
      <w:r>
        <w:rPr>
          <w:rFonts w:hint="eastAsia" w:asciiTheme="minorEastAsia" w:hAnsiTheme="minorEastAsia" w:eastAsiaTheme="minorEastAsia" w:cstheme="minorEastAsia"/>
          <w:color w:val="auto"/>
          <w:sz w:val="24"/>
          <w:szCs w:val="24"/>
          <w:highlight w:val="none"/>
          <w:u w:val="single"/>
        </w:rPr>
        <w:t xml:space="preserve"> （项目名称）</w:t>
      </w:r>
      <w:r>
        <w:rPr>
          <w:rFonts w:hint="eastAsia" w:asciiTheme="minorEastAsia" w:hAnsiTheme="minorEastAsia" w:eastAsiaTheme="minorEastAsia" w:cstheme="minorEastAsia"/>
          <w:color w:val="auto"/>
          <w:sz w:val="24"/>
          <w:szCs w:val="24"/>
          <w:highlight w:val="none"/>
        </w:rPr>
        <w:t>采购活动，服务全部由符合政策要求的中小企业承接。企业的具体情况如下：</w:t>
      </w:r>
    </w:p>
    <w:p w14:paraId="085F9C72">
      <w:pPr>
        <w:spacing w:line="56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u w:val="single"/>
        </w:rPr>
        <w:t xml:space="preserve">（标的名称） </w:t>
      </w:r>
      <w:r>
        <w:rPr>
          <w:rFonts w:hint="eastAsia" w:asciiTheme="minorEastAsia" w:hAnsiTheme="minorEastAsia" w:eastAsiaTheme="minorEastAsia" w:cstheme="minorEastAsia"/>
          <w:color w:val="auto"/>
          <w:sz w:val="24"/>
          <w:szCs w:val="24"/>
          <w:highlight w:val="none"/>
        </w:rPr>
        <w:t>，属于</w:t>
      </w:r>
      <w:r>
        <w:rPr>
          <w:rFonts w:hint="eastAsia" w:asciiTheme="minorEastAsia" w:hAnsiTheme="minorEastAsia" w:eastAsiaTheme="minorEastAsia" w:cstheme="minorEastAsia"/>
          <w:color w:val="auto"/>
          <w:sz w:val="24"/>
          <w:szCs w:val="24"/>
          <w:highlight w:val="none"/>
          <w:u w:val="single"/>
        </w:rPr>
        <w:t>（采购文件中明确的所属行业）</w:t>
      </w:r>
      <w:r>
        <w:rPr>
          <w:rFonts w:hint="eastAsia" w:asciiTheme="minorEastAsia" w:hAnsiTheme="minorEastAsia" w:eastAsiaTheme="minorEastAsia" w:cstheme="minorEastAsia"/>
          <w:color w:val="auto"/>
          <w:sz w:val="24"/>
          <w:szCs w:val="24"/>
          <w:highlight w:val="none"/>
        </w:rPr>
        <w:t>；承接企业为</w:t>
      </w:r>
      <w:r>
        <w:rPr>
          <w:rFonts w:hint="eastAsia" w:asciiTheme="minorEastAsia" w:hAnsiTheme="minorEastAsia" w:eastAsiaTheme="minorEastAsia" w:cstheme="minorEastAsia"/>
          <w:color w:val="auto"/>
          <w:sz w:val="24"/>
          <w:szCs w:val="24"/>
          <w:highlight w:val="none"/>
          <w:u w:val="single"/>
        </w:rPr>
        <w:t>（企业名称）</w:t>
      </w:r>
      <w:r>
        <w:rPr>
          <w:rFonts w:hint="eastAsia" w:asciiTheme="minorEastAsia" w:hAnsiTheme="minorEastAsia" w:eastAsiaTheme="minorEastAsia" w:cstheme="minorEastAsia"/>
          <w:color w:val="auto"/>
          <w:sz w:val="24"/>
          <w:szCs w:val="24"/>
          <w:highlight w:val="none"/>
        </w:rPr>
        <w:t>，从业人员</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人，营业收入为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万元，资产总额为</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万元¹，属于</w:t>
      </w:r>
      <w:r>
        <w:rPr>
          <w:rFonts w:hint="eastAsia" w:asciiTheme="minorEastAsia" w:hAnsiTheme="minorEastAsia" w:eastAsiaTheme="minorEastAsia" w:cstheme="minorEastAsia"/>
          <w:color w:val="auto"/>
          <w:sz w:val="24"/>
          <w:szCs w:val="24"/>
          <w:highlight w:val="none"/>
          <w:u w:val="single"/>
        </w:rPr>
        <w:t>（中型企业、小型企业、微型企业）</w:t>
      </w:r>
      <w:r>
        <w:rPr>
          <w:rFonts w:hint="eastAsia" w:asciiTheme="minorEastAsia" w:hAnsiTheme="minorEastAsia" w:eastAsiaTheme="minorEastAsia" w:cstheme="minorEastAsia"/>
          <w:color w:val="auto"/>
          <w:sz w:val="24"/>
          <w:szCs w:val="24"/>
          <w:highlight w:val="none"/>
        </w:rPr>
        <w:t>；</w:t>
      </w:r>
    </w:p>
    <w:p w14:paraId="6CBB0C65">
      <w:pPr>
        <w:spacing w:line="560" w:lineRule="exact"/>
        <w:ind w:firstLine="480" w:firstLineChars="200"/>
        <w:rPr>
          <w:rFonts w:hint="eastAsia" w:asciiTheme="minorEastAsia" w:hAnsiTheme="minorEastAsia" w:eastAsiaTheme="minorEastAsia" w:cstheme="minorEastAsia"/>
          <w:color w:val="auto"/>
          <w:sz w:val="24"/>
          <w:szCs w:val="24"/>
          <w:highlight w:val="none"/>
        </w:rPr>
      </w:pPr>
    </w:p>
    <w:p w14:paraId="4E4F9D49">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本企业不属于大企业的分支机构，不存在控股股东为大企业的情形，也不存在与大企业的负责人为同一人的情形。 </w:t>
      </w:r>
    </w:p>
    <w:p w14:paraId="4B1F8784">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本企业对上述声明内容的真实性负责。如有虚假，将依法承担相应责任。 </w:t>
      </w:r>
    </w:p>
    <w:p w14:paraId="4C66EFB5">
      <w:pPr>
        <w:spacing w:line="560" w:lineRule="exact"/>
        <w:ind w:firstLine="480" w:firstLineChars="200"/>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企业名称（盖章）： </w:t>
      </w:r>
    </w:p>
    <w:p w14:paraId="034554B9">
      <w:pPr>
        <w:spacing w:line="560" w:lineRule="exact"/>
        <w:ind w:firstLine="480" w:firstLineChars="200"/>
        <w:jc w:val="center"/>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               日 期：</w:t>
      </w:r>
    </w:p>
    <w:p w14:paraId="143E1366">
      <w:pPr>
        <w:spacing w:line="560" w:lineRule="exact"/>
        <w:ind w:firstLine="280" w:firstLineChars="100"/>
        <w:rPr>
          <w:rFonts w:ascii="宋体" w:hAnsi="宋体"/>
          <w:color w:val="auto"/>
          <w:sz w:val="24"/>
          <w:highlight w:val="none"/>
        </w:rPr>
      </w:pPr>
      <w:r>
        <w:rPr>
          <w:rFonts w:hint="eastAsia" w:ascii="宋体" w:hAnsi="宋体" w:cs="宋体"/>
          <w:color w:val="auto"/>
          <w:sz w:val="28"/>
          <w:szCs w:val="28"/>
          <w:highlight w:val="none"/>
        </w:rPr>
        <w:t>¹</w:t>
      </w:r>
      <w:r>
        <w:rPr>
          <w:rFonts w:ascii="宋体" w:hAnsi="宋体" w:cs="宋体"/>
          <w:color w:val="auto"/>
          <w:sz w:val="24"/>
          <w:szCs w:val="24"/>
          <w:highlight w:val="none"/>
        </w:rPr>
        <w:t>从业人员、营业收入、资产总额填报上一年度数据，无上一年度数据的新成立企业可不填报。</w:t>
      </w:r>
    </w:p>
    <w:p w14:paraId="0AD76133">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注：1.供应商如属于小型和微型企业,如不提供此声明函的，价格将不做相应扣除。</w:t>
      </w:r>
    </w:p>
    <w:p w14:paraId="37B2DB47">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14:paraId="39D10055">
      <w:pPr>
        <w:spacing w:line="560" w:lineRule="exact"/>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3.中小企业划型标准规定参考《工信部联企业[2011]300号》。</w:t>
      </w:r>
    </w:p>
    <w:p w14:paraId="4C2AA641">
      <w:pPr>
        <w:spacing w:line="560" w:lineRule="exact"/>
        <w:ind w:firstLine="480" w:firstLineChars="200"/>
        <w:rPr>
          <w:rFonts w:asciiTheme="minorEastAsia" w:hAnsiTheme="minorEastAsia" w:eastAsiaTheme="minorEastAsia" w:cstheme="minorEastAsia"/>
          <w:color w:val="auto"/>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466CD37">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10</w:t>
      </w:r>
      <w:r>
        <w:rPr>
          <w:rFonts w:hint="eastAsia" w:ascii="宋体" w:hAnsi="宋体" w:cs="宋体"/>
          <w:b/>
          <w:color w:val="auto"/>
          <w:sz w:val="28"/>
          <w:szCs w:val="28"/>
          <w:highlight w:val="none"/>
        </w:rPr>
        <w:t>.残疾人福利性单位声明函</w:t>
      </w:r>
    </w:p>
    <w:p w14:paraId="582BA6BB">
      <w:pPr>
        <w:spacing w:line="560" w:lineRule="exact"/>
        <w:ind w:firstLine="321" w:firstLineChars="100"/>
        <w:jc w:val="center"/>
        <w:rPr>
          <w:rFonts w:ascii="黑体" w:hAnsi="黑体" w:eastAsia="黑体"/>
          <w:b/>
          <w:color w:val="auto"/>
          <w:sz w:val="32"/>
          <w:szCs w:val="32"/>
          <w:highlight w:val="none"/>
        </w:rPr>
      </w:pPr>
    </w:p>
    <w:p w14:paraId="09696281">
      <w:pPr>
        <w:spacing w:line="560" w:lineRule="exact"/>
        <w:ind w:firstLine="321" w:firstLineChars="100"/>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残疾人福利性单位声明函（可选）</w:t>
      </w:r>
    </w:p>
    <w:p w14:paraId="593DE7FF">
      <w:pPr>
        <w:spacing w:line="360" w:lineRule="auto"/>
        <w:rPr>
          <w:rFonts w:asciiTheme="minorEastAsia" w:hAnsiTheme="minorEastAsia" w:eastAsiaTheme="minorEastAsia" w:cstheme="minorEastAsia"/>
          <w:b/>
          <w:color w:val="auto"/>
          <w:spacing w:val="6"/>
          <w:szCs w:val="21"/>
          <w:highlight w:val="none"/>
        </w:rPr>
      </w:pPr>
    </w:p>
    <w:p w14:paraId="4F1F9C3B">
      <w:pPr>
        <w:spacing w:line="360" w:lineRule="auto"/>
        <w:ind w:firstLine="504" w:firstLineChars="200"/>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项目采购活动由本单位提供服务。</w:t>
      </w:r>
    </w:p>
    <w:p w14:paraId="113B15CF">
      <w:pPr>
        <w:spacing w:line="360" w:lineRule="auto"/>
        <w:ind w:firstLine="504" w:firstLineChars="200"/>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14:paraId="01B2D31B">
      <w:pPr>
        <w:spacing w:line="360" w:lineRule="auto"/>
        <w:ind w:firstLine="504" w:firstLineChars="200"/>
        <w:rPr>
          <w:rFonts w:asciiTheme="minorEastAsia" w:hAnsiTheme="minorEastAsia" w:eastAsiaTheme="minorEastAsia" w:cstheme="minorEastAsia"/>
          <w:color w:val="auto"/>
          <w:spacing w:val="6"/>
          <w:sz w:val="24"/>
          <w:szCs w:val="24"/>
          <w:highlight w:val="none"/>
        </w:rPr>
      </w:pPr>
    </w:p>
    <w:p w14:paraId="4921F1E5">
      <w:pPr>
        <w:spacing w:line="360" w:lineRule="auto"/>
        <w:ind w:firstLine="504" w:firstLineChars="200"/>
        <w:rPr>
          <w:rFonts w:asciiTheme="minorEastAsia" w:hAnsiTheme="minorEastAsia" w:eastAsiaTheme="minorEastAsia" w:cstheme="minorEastAsia"/>
          <w:color w:val="auto"/>
          <w:spacing w:val="6"/>
          <w:sz w:val="24"/>
          <w:szCs w:val="24"/>
          <w:highlight w:val="none"/>
        </w:rPr>
      </w:pPr>
    </w:p>
    <w:p w14:paraId="10992D54">
      <w:pPr>
        <w:spacing w:line="360" w:lineRule="auto"/>
        <w:ind w:firstLine="504" w:firstLineChars="200"/>
        <w:jc w:val="right"/>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14:paraId="10EFE0BF">
      <w:pPr>
        <w:spacing w:line="360" w:lineRule="auto"/>
        <w:ind w:firstLine="504" w:firstLineChars="200"/>
        <w:jc w:val="right"/>
        <w:rPr>
          <w:rFonts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14:paraId="080C4E8F">
      <w:pPr>
        <w:tabs>
          <w:tab w:val="left" w:pos="567"/>
          <w:tab w:val="left" w:pos="709"/>
          <w:tab w:val="left" w:pos="993"/>
        </w:tabs>
        <w:topLinePunct/>
        <w:spacing w:before="100" w:beforeAutospacing="1" w:after="100" w:afterAutospacing="1" w:line="360" w:lineRule="auto"/>
        <w:jc w:val="center"/>
        <w:rPr>
          <w:rFonts w:asciiTheme="minorEastAsia" w:hAnsiTheme="minorEastAsia" w:eastAsiaTheme="minorEastAsia" w:cstheme="minorEastAsia"/>
          <w:b/>
          <w:bCs/>
          <w:color w:val="auto"/>
          <w:kern w:val="44"/>
          <w:szCs w:val="21"/>
          <w:highlight w:val="none"/>
        </w:rPr>
      </w:pPr>
    </w:p>
    <w:p w14:paraId="0265C5C9">
      <w:pPr>
        <w:jc w:val="center"/>
        <w:rPr>
          <w:rFonts w:ascii="宋体" w:hAnsi="宋体" w:cs="宋体"/>
          <w:b/>
          <w:color w:val="auto"/>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A6919C7">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14:paraId="72CE289B">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14:paraId="4DE5908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14:paraId="6988B28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为了提高贵单位谈判响应文件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14:paraId="19906163">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1.请谨记竞争性谈判文件上表述的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rPr>
        <w:t>谈判时间和地点</w:t>
      </w:r>
      <w:r>
        <w:rPr>
          <w:rFonts w:hint="eastAsia" w:ascii="宋体" w:hAnsi="宋体" w:cs="宋体"/>
          <w:color w:val="auto"/>
          <w:sz w:val="24"/>
          <w:szCs w:val="24"/>
          <w:highlight w:val="none"/>
        </w:rPr>
        <w:t>，迟到的将一律不能进入开标室。</w:t>
      </w:r>
    </w:p>
    <w:p w14:paraId="31874590">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谈判响应文件</w:t>
      </w:r>
      <w:r>
        <w:rPr>
          <w:rFonts w:hint="eastAsia" w:ascii="宋体" w:hAnsi="宋体" w:cs="宋体"/>
          <w:b/>
          <w:color w:val="auto"/>
          <w:sz w:val="24"/>
          <w:szCs w:val="24"/>
          <w:highlight w:val="none"/>
        </w:rPr>
        <w:t>正本和副本应当密封，电子光盘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14:paraId="3379274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w:t>
      </w:r>
      <w:r>
        <w:rPr>
          <w:rFonts w:hint="eastAsia"/>
          <w:color w:val="auto"/>
          <w:sz w:val="24"/>
          <w:szCs w:val="24"/>
          <w:highlight w:val="none"/>
        </w:rPr>
        <w:t>谈判响应文件中的</w:t>
      </w:r>
      <w:r>
        <w:rPr>
          <w:rFonts w:hint="eastAsia" w:ascii="宋体" w:hAnsi="宋体" w:cs="宋体"/>
          <w:color w:val="auto"/>
          <w:sz w:val="24"/>
          <w:szCs w:val="24"/>
          <w:highlight w:val="none"/>
        </w:rPr>
        <w:t>证明文件及资料需提供并加盖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w:t>
      </w:r>
    </w:p>
    <w:p w14:paraId="165C3381">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rPr>
        <w:t>因竞争性谈判文件文字表述有限，鼓励您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，可以在谈判前充分了解现场环境、工程进度和质量要求等信息，为贵单位有针对性的制作谈判响应文件积累充分的原始资料。</w:t>
      </w:r>
    </w:p>
    <w:p w14:paraId="05D5416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14:paraId="0919216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审阅竞争性谈判文件,特别是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。如有疑问，请按竞争性谈判文件要求进行询疑。</w:t>
      </w:r>
    </w:p>
    <w:p w14:paraId="45A146E1">
      <w:pPr>
        <w:spacing w:line="480" w:lineRule="exact"/>
        <w:ind w:firstLine="480" w:firstLineChars="200"/>
        <w:rPr>
          <w:rFonts w:ascii="宋体" w:hAnsi="宋体" w:cs="宋体"/>
          <w:color w:val="auto"/>
          <w:sz w:val="24"/>
          <w:szCs w:val="24"/>
          <w:highlight w:val="none"/>
        </w:rPr>
      </w:pPr>
    </w:p>
    <w:p w14:paraId="154FD07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14:paraId="1E2A849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最后祝您谈判成功！</w:t>
      </w:r>
    </w:p>
    <w:p w14:paraId="215FD99C">
      <w:pPr>
        <w:rPr>
          <w:rFonts w:ascii="宋体" w:hAnsi="宋体" w:cs="宋体"/>
          <w:color w:val="auto"/>
          <w:sz w:val="24"/>
          <w:szCs w:val="24"/>
          <w:highlight w:val="none"/>
        </w:rPr>
      </w:pPr>
    </w:p>
    <w:p w14:paraId="7B7A498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本竞争性谈判文件的最终解释权归江苏尚阳工程管理有限公司所有。</w:t>
      </w:r>
    </w:p>
    <w:p w14:paraId="4064563C">
      <w:pPr>
        <w:widowControl/>
        <w:jc w:val="center"/>
        <w:rPr>
          <w:rFonts w:ascii="宋体" w:hAnsi="宋体" w:cs="宋体"/>
          <w:b/>
          <w:color w:val="auto"/>
          <w:sz w:val="30"/>
          <w:szCs w:val="30"/>
          <w:highlight w:val="none"/>
        </w:rPr>
      </w:pPr>
      <w:r>
        <w:rPr>
          <w:rFonts w:hint="eastAsia" w:ascii="宋体" w:hAnsi="宋体" w:cs="宋体"/>
          <w:b/>
          <w:color w:val="auto"/>
          <w:sz w:val="30"/>
          <w:szCs w:val="30"/>
          <w:highlight w:val="none"/>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rPr>
        <w:t>）</w:t>
      </w:r>
    </w:p>
    <w:bookmarkEnd w:id="50"/>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魏碑_GBK">
    <w:altName w:val="宋体"/>
    <w:panose1 w:val="03000509000000000000"/>
    <w:charset w:val="86"/>
    <w:family w:val="script"/>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39BD4">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C6EEB">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11C6EEB">
                    <w:pPr>
                      <w:pStyle w:val="10"/>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3442F">
    <w:pPr>
      <w:pStyle w:val="10"/>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9F2E">
    <w:pPr>
      <w:pStyle w:val="10"/>
      <w:ind w:right="360" w:firstLine="360"/>
      <w:rPr>
        <w:rFonts w:ascii="仿宋_GB2312" w:hAnsi="宋体"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B7B532">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30</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57B7B532">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30</w:t>
                    </w:r>
                    <w:r>
                      <w:rPr>
                        <w:rFonts w:hint="eastAsia"/>
                      </w:rPr>
                      <w:fldChar w:fldCharType="end"/>
                    </w:r>
                    <w:r>
                      <w:rPr>
                        <w:rFonts w:hint="eastAsia"/>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B5B71">
    <w:pPr>
      <w:pStyle w:val="10"/>
      <w:ind w:right="360" w:firstLine="360"/>
      <w:rPr>
        <w:rFonts w:ascii="仿宋_GB2312" w:hAnsi="宋体"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F081B">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30</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376F081B">
                    <w:pPr>
                      <w:pStyle w:val="1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23</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30</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F0CD9">
    <w:pPr>
      <w:pStyle w:val="11"/>
    </w:pPr>
  </w:p>
  <w:p w14:paraId="33C08EDC">
    <w:pPr>
      <w:pStyle w:val="11"/>
    </w:pPr>
    <w: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72465">
    <w:pPr>
      <w:pStyle w:val="11"/>
    </w:pPr>
  </w:p>
  <w:p w14:paraId="4656C0D2">
    <w:pPr>
      <w:pStyle w:val="11"/>
    </w:pPr>
    <w: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C02772"/>
    <w:multiLevelType w:val="singleLevel"/>
    <w:tmpl w:val="B2C02772"/>
    <w:lvl w:ilvl="0" w:tentative="0">
      <w:start w:val="1"/>
      <w:numFmt w:val="decimal"/>
      <w:lvlText w:val="%1."/>
      <w:lvlJc w:val="left"/>
      <w:pPr>
        <w:tabs>
          <w:tab w:val="left" w:pos="312"/>
        </w:tabs>
      </w:pPr>
    </w:lvl>
  </w:abstractNum>
  <w:abstractNum w:abstractNumId="1">
    <w:nsid w:val="6494BFDE"/>
    <w:multiLevelType w:val="singleLevel"/>
    <w:tmpl w:val="6494BFDE"/>
    <w:lvl w:ilvl="0" w:tentative="0">
      <w:start w:val="5"/>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I2OTIxZjNiZjQyM2RhZGE1NjdmY2MxYTljZDAzODcifQ=="/>
  </w:docVars>
  <w:rsids>
    <w:rsidRoot w:val="41894BD4"/>
    <w:rsid w:val="00042380"/>
    <w:rsid w:val="00593546"/>
    <w:rsid w:val="00B45DDD"/>
    <w:rsid w:val="027F07B0"/>
    <w:rsid w:val="030634BD"/>
    <w:rsid w:val="04573D11"/>
    <w:rsid w:val="05A41640"/>
    <w:rsid w:val="060A55BB"/>
    <w:rsid w:val="062C2C76"/>
    <w:rsid w:val="065D2637"/>
    <w:rsid w:val="070C42A8"/>
    <w:rsid w:val="08073296"/>
    <w:rsid w:val="08442A7A"/>
    <w:rsid w:val="08840BA4"/>
    <w:rsid w:val="089F029F"/>
    <w:rsid w:val="0917644A"/>
    <w:rsid w:val="09190442"/>
    <w:rsid w:val="098C0586"/>
    <w:rsid w:val="09EC7123"/>
    <w:rsid w:val="0A6071C9"/>
    <w:rsid w:val="0AB86FC2"/>
    <w:rsid w:val="0C9122F8"/>
    <w:rsid w:val="0CB554F2"/>
    <w:rsid w:val="0D222E5C"/>
    <w:rsid w:val="0D696F28"/>
    <w:rsid w:val="0DEA5B25"/>
    <w:rsid w:val="0EB14497"/>
    <w:rsid w:val="0F056287"/>
    <w:rsid w:val="0F856435"/>
    <w:rsid w:val="0FFB07E2"/>
    <w:rsid w:val="10714CA6"/>
    <w:rsid w:val="10A865EF"/>
    <w:rsid w:val="11B933BC"/>
    <w:rsid w:val="121C0CF3"/>
    <w:rsid w:val="12661633"/>
    <w:rsid w:val="12D00772"/>
    <w:rsid w:val="13DD0205"/>
    <w:rsid w:val="14960D9D"/>
    <w:rsid w:val="157C54AE"/>
    <w:rsid w:val="15AA4FDA"/>
    <w:rsid w:val="15D13671"/>
    <w:rsid w:val="15DB4C7A"/>
    <w:rsid w:val="16D231FD"/>
    <w:rsid w:val="16F86195"/>
    <w:rsid w:val="17184B22"/>
    <w:rsid w:val="173F55C8"/>
    <w:rsid w:val="189063F1"/>
    <w:rsid w:val="18BF5A03"/>
    <w:rsid w:val="18E80B04"/>
    <w:rsid w:val="19120228"/>
    <w:rsid w:val="199F3089"/>
    <w:rsid w:val="19DF25B4"/>
    <w:rsid w:val="19FF0227"/>
    <w:rsid w:val="1A044015"/>
    <w:rsid w:val="1A5A1C57"/>
    <w:rsid w:val="1A90216F"/>
    <w:rsid w:val="1B142BCB"/>
    <w:rsid w:val="1B7A5193"/>
    <w:rsid w:val="1F7C34DD"/>
    <w:rsid w:val="1FEB1FD2"/>
    <w:rsid w:val="20932F6B"/>
    <w:rsid w:val="21FC49C9"/>
    <w:rsid w:val="2218501A"/>
    <w:rsid w:val="227057E2"/>
    <w:rsid w:val="241A7050"/>
    <w:rsid w:val="24C02A8C"/>
    <w:rsid w:val="270E5DF2"/>
    <w:rsid w:val="28242D82"/>
    <w:rsid w:val="29472F77"/>
    <w:rsid w:val="295959EE"/>
    <w:rsid w:val="2A007C29"/>
    <w:rsid w:val="2AD24E99"/>
    <w:rsid w:val="2BF87D54"/>
    <w:rsid w:val="2CEA04B2"/>
    <w:rsid w:val="2DB82ADA"/>
    <w:rsid w:val="2DE96CA3"/>
    <w:rsid w:val="302624F2"/>
    <w:rsid w:val="30E9240D"/>
    <w:rsid w:val="31127364"/>
    <w:rsid w:val="313F4A57"/>
    <w:rsid w:val="31C119C9"/>
    <w:rsid w:val="33A17275"/>
    <w:rsid w:val="3412093D"/>
    <w:rsid w:val="36BD1572"/>
    <w:rsid w:val="36E07147"/>
    <w:rsid w:val="375436D0"/>
    <w:rsid w:val="379A526D"/>
    <w:rsid w:val="37AD4689"/>
    <w:rsid w:val="3A0B5E8B"/>
    <w:rsid w:val="3A987192"/>
    <w:rsid w:val="3CC66DEA"/>
    <w:rsid w:val="3D396D89"/>
    <w:rsid w:val="3D6011C1"/>
    <w:rsid w:val="3D60217E"/>
    <w:rsid w:val="3DB92886"/>
    <w:rsid w:val="3E336DCA"/>
    <w:rsid w:val="3F5F26D4"/>
    <w:rsid w:val="3FE62C2A"/>
    <w:rsid w:val="40A82892"/>
    <w:rsid w:val="40E6422E"/>
    <w:rsid w:val="413F7265"/>
    <w:rsid w:val="41894BD4"/>
    <w:rsid w:val="43887E77"/>
    <w:rsid w:val="44F557CA"/>
    <w:rsid w:val="45CC2FFC"/>
    <w:rsid w:val="47055A52"/>
    <w:rsid w:val="47587EC6"/>
    <w:rsid w:val="484473F7"/>
    <w:rsid w:val="493A2D00"/>
    <w:rsid w:val="495B7054"/>
    <w:rsid w:val="4BBA2570"/>
    <w:rsid w:val="4BC6087B"/>
    <w:rsid w:val="4CFE61A4"/>
    <w:rsid w:val="4D043CAC"/>
    <w:rsid w:val="4DD21CD8"/>
    <w:rsid w:val="4EC1099D"/>
    <w:rsid w:val="50CD0907"/>
    <w:rsid w:val="51EF6888"/>
    <w:rsid w:val="521F5D66"/>
    <w:rsid w:val="5301154F"/>
    <w:rsid w:val="54AC2921"/>
    <w:rsid w:val="55826FEA"/>
    <w:rsid w:val="559C4E62"/>
    <w:rsid w:val="55AB06CF"/>
    <w:rsid w:val="55CB3477"/>
    <w:rsid w:val="562C33EA"/>
    <w:rsid w:val="563D1C20"/>
    <w:rsid w:val="571238AB"/>
    <w:rsid w:val="58132365"/>
    <w:rsid w:val="5A504AD9"/>
    <w:rsid w:val="5DCE00B4"/>
    <w:rsid w:val="5F4F2FEA"/>
    <w:rsid w:val="61E87729"/>
    <w:rsid w:val="61EB4392"/>
    <w:rsid w:val="62746851"/>
    <w:rsid w:val="63237935"/>
    <w:rsid w:val="651833B8"/>
    <w:rsid w:val="65871EF3"/>
    <w:rsid w:val="6599757D"/>
    <w:rsid w:val="680C2CF8"/>
    <w:rsid w:val="686D24CD"/>
    <w:rsid w:val="690C6515"/>
    <w:rsid w:val="69447104"/>
    <w:rsid w:val="697405CC"/>
    <w:rsid w:val="6AA1152B"/>
    <w:rsid w:val="6B4B1632"/>
    <w:rsid w:val="6BD37D5E"/>
    <w:rsid w:val="6C116C17"/>
    <w:rsid w:val="6C262399"/>
    <w:rsid w:val="6D5A25EC"/>
    <w:rsid w:val="6F61767B"/>
    <w:rsid w:val="70A83B08"/>
    <w:rsid w:val="70FA5766"/>
    <w:rsid w:val="71546771"/>
    <w:rsid w:val="724539F8"/>
    <w:rsid w:val="72510B56"/>
    <w:rsid w:val="736C4651"/>
    <w:rsid w:val="739709B6"/>
    <w:rsid w:val="741C3E8C"/>
    <w:rsid w:val="79157A6A"/>
    <w:rsid w:val="7A084F9B"/>
    <w:rsid w:val="7B277E0B"/>
    <w:rsid w:val="7B3665D4"/>
    <w:rsid w:val="7B5F5634"/>
    <w:rsid w:val="7B8F4C4D"/>
    <w:rsid w:val="7BC5270C"/>
    <w:rsid w:val="7BEC1A08"/>
    <w:rsid w:val="7D4E532E"/>
    <w:rsid w:val="7E8E25A7"/>
    <w:rsid w:val="7EBD61D5"/>
    <w:rsid w:val="7FC528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utoSpaceDE w:val="0"/>
      <w:autoSpaceDN w:val="0"/>
      <w:adjustRightInd w:val="0"/>
      <w:ind w:firstLine="420"/>
    </w:pPr>
    <w:rPr>
      <w:rFonts w:ascii="宋体"/>
      <w:sz w:val="24"/>
    </w:rPr>
  </w:style>
  <w:style w:type="paragraph" w:styleId="4">
    <w:name w:val="annotation text"/>
    <w:basedOn w:val="1"/>
    <w:qFormat/>
    <w:uiPriority w:val="0"/>
    <w:pPr>
      <w:jc w:val="left"/>
    </w:pPr>
  </w:style>
  <w:style w:type="paragraph" w:styleId="5">
    <w:name w:val="Body Text"/>
    <w:basedOn w:val="1"/>
    <w:next w:val="1"/>
    <w:qFormat/>
    <w:uiPriority w:val="0"/>
    <w:pPr>
      <w:ind w:left="558"/>
    </w:pPr>
    <w:rPr>
      <w:szCs w:val="21"/>
    </w:rPr>
  </w:style>
  <w:style w:type="paragraph" w:styleId="6">
    <w:name w:val="Body Text Indent"/>
    <w:basedOn w:val="1"/>
    <w:next w:val="7"/>
    <w:qFormat/>
    <w:uiPriority w:val="0"/>
    <w:pPr>
      <w:ind w:firstLine="645"/>
    </w:pPr>
    <w:rPr>
      <w:rFonts w:ascii="楷体_GB2312" w:eastAsia="楷体_GB2312"/>
      <w:kern w:val="0"/>
      <w:sz w:val="32"/>
    </w:rPr>
  </w:style>
  <w:style w:type="paragraph" w:styleId="7">
    <w:name w:val="envelope return"/>
    <w:basedOn w:val="1"/>
    <w:unhideWhenUsed/>
    <w:qFormat/>
    <w:uiPriority w:val="99"/>
    <w:pPr>
      <w:snapToGrid w:val="0"/>
    </w:pPr>
    <w:rPr>
      <w:rFonts w:ascii="Arial" w:hAnsi="Arial"/>
    </w:rPr>
  </w:style>
  <w:style w:type="paragraph" w:styleId="8">
    <w:name w:val="index 4"/>
    <w:basedOn w:val="1"/>
    <w:next w:val="1"/>
    <w:unhideWhenUsed/>
    <w:qFormat/>
    <w:uiPriority w:val="99"/>
    <w:pPr>
      <w:ind w:left="1260"/>
    </w:pPr>
  </w:style>
  <w:style w:type="paragraph" w:styleId="9">
    <w:name w:val="Plain Text"/>
    <w:basedOn w:val="1"/>
    <w:qFormat/>
    <w:uiPriority w:val="99"/>
    <w:rPr>
      <w:rFonts w:ascii="宋体" w:hAnsi="宋体" w:eastAsiaTheme="minorEastAsia" w:cstheme="minorBidi"/>
      <w:sz w:val="26"/>
      <w:szCs w:val="22"/>
    </w:rPr>
  </w:style>
  <w:style w:type="paragraph" w:styleId="10">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1">
    <w:name w:val="header"/>
    <w:basedOn w:val="1"/>
    <w:qFormat/>
    <w:uiPriority w:val="0"/>
    <w:pPr>
      <w:pBdr>
        <w:bottom w:val="single" w:color="auto" w:sz="6" w:space="1"/>
      </w:pBdr>
      <w:tabs>
        <w:tab w:val="center" w:pos="4153"/>
        <w:tab w:val="right" w:pos="8307"/>
      </w:tabs>
      <w:snapToGrid w:val="0"/>
      <w:jc w:val="center"/>
    </w:pPr>
    <w:rPr>
      <w:sz w:val="18"/>
    </w:rPr>
  </w:style>
  <w:style w:type="paragraph" w:styleId="12">
    <w:name w:val="toc 4"/>
    <w:basedOn w:val="1"/>
    <w:next w:val="1"/>
    <w:qFormat/>
    <w:uiPriority w:val="0"/>
    <w:pPr>
      <w:ind w:left="126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4">
    <w:name w:val="Body Text First Indent 2"/>
    <w:basedOn w:val="6"/>
    <w:next w:val="3"/>
    <w:qFormat/>
    <w:uiPriority w:val="0"/>
    <w:pPr>
      <w:adjustRightInd w:val="0"/>
      <w:spacing w:after="120" w:line="360" w:lineRule="auto"/>
      <w:ind w:left="420" w:firstLine="420"/>
      <w:textAlignment w:val="baseline"/>
    </w:pPr>
    <w:rPr>
      <w:color w:val="000000"/>
      <w:kern w:val="0"/>
      <w:sz w:val="20"/>
      <w:szCs w:val="24"/>
    </w:rPr>
  </w:style>
  <w:style w:type="character" w:styleId="17">
    <w:name w:val="Strong"/>
    <w:basedOn w:val="16"/>
    <w:qFormat/>
    <w:uiPriority w:val="0"/>
    <w:rPr>
      <w:b/>
    </w:rPr>
  </w:style>
  <w:style w:type="character" w:styleId="18">
    <w:name w:val="Emphasis"/>
    <w:qFormat/>
    <w:uiPriority w:val="0"/>
    <w:rPr>
      <w:color w:val="CC0033"/>
    </w:rPr>
  </w:style>
  <w:style w:type="character" w:styleId="19">
    <w:name w:val="annotation reference"/>
    <w:basedOn w:val="16"/>
    <w:qFormat/>
    <w:uiPriority w:val="0"/>
    <w:rPr>
      <w:sz w:val="21"/>
      <w:szCs w:val="21"/>
    </w:rPr>
  </w:style>
  <w:style w:type="character" w:customStyle="1" w:styleId="20">
    <w:name w:val="批注主题 Char"/>
    <w:qFormat/>
    <w:uiPriority w:val="99"/>
    <w:rPr>
      <w:rFonts w:eastAsia="宋体"/>
      <w:b/>
      <w:bCs/>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Í¼±íÕýÎÄ"/>
    <w:basedOn w:val="1"/>
    <w:next w:val="3"/>
    <w:qFormat/>
    <w:uiPriority w:val="0"/>
    <w:pPr>
      <w:ind w:firstLine="420" w:firstLineChars="200"/>
    </w:pPr>
    <w:rPr>
      <w:sz w:val="24"/>
    </w:rPr>
  </w:style>
  <w:style w:type="paragraph" w:customStyle="1" w:styleId="23">
    <w:name w:val="纯文本1"/>
    <w:next w:val="12"/>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4">
    <w:name w:val="纯文本2"/>
    <w:next w:val="12"/>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25">
    <w:name w:val="页码1"/>
    <w:basedOn w:val="16"/>
    <w:qFormat/>
    <w:uiPriority w:val="0"/>
  </w:style>
  <w:style w:type="paragraph" w:customStyle="1" w:styleId="26">
    <w:name w:val="段"/>
    <w:basedOn w:val="1"/>
    <w:next w:val="1"/>
    <w:qFormat/>
    <w:uiPriority w:val="0"/>
    <w:pPr>
      <w:widowControl/>
      <w:autoSpaceDE w:val="0"/>
      <w:autoSpaceDN w:val="0"/>
      <w:ind w:firstLine="200" w:firstLineChars="200"/>
    </w:pPr>
    <w:rPr>
      <w:rFonts w:hint="eastAsia" w:ascii="宋体"/>
      <w:kern w:val="0"/>
    </w:rPr>
  </w:style>
  <w:style w:type="paragraph" w:styleId="27">
    <w:name w:val="No Spacing"/>
    <w:qFormat/>
    <w:uiPriority w:val="99"/>
    <w:rPr>
      <w:rFonts w:ascii="Calibri" w:hAnsi="Calibri" w:eastAsia="宋体" w:cs="Times New Roman"/>
      <w:sz w:val="22"/>
      <w:szCs w:val="22"/>
      <w:lang w:val="en-US" w:eastAsia="zh-CN" w:bidi="ar-SA"/>
    </w:rPr>
  </w:style>
  <w:style w:type="character" w:customStyle="1" w:styleId="28">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287</Words>
  <Characters>321</Characters>
  <Lines>130</Lines>
  <Paragraphs>36</Paragraphs>
  <TotalTime>9</TotalTime>
  <ScaleCrop>false</ScaleCrop>
  <LinksUpToDate>false</LinksUpToDate>
  <CharactersWithSpaces>343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2023-08-04T07:01:00Z</dcterms:created>
  <dc:creator>SYZB</dc:creator>
  <cp:lastModifiedBy>XU</cp:lastModifiedBy>
  <dcterms:modified xsi:type="dcterms:W3CDTF">2026-03-30T05:04:41Z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BF3EF81762134CB695216B7C36052BCB</vt:lpwstr>
  </property>
  <property fmtid="{D5CDD505-2E9C-101B-9397-08002B2CF9AE}" pid="4" name="KSOTemplateDocerSaveRecord">
    <vt:lpwstr>eyJoZGlkIjoiZDI2OTIxZjNiZjQyM2RhZGE1NjdmY2MxYTljZDAzODciLCJ1c2VySWQiOiIxNDk3NzQ3NTk5In0=</vt:lpwstr>
  </property>
</Properties>
</file>