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9E7CB">
      <w:pPr>
        <w:snapToGrid w:val="0"/>
        <w:spacing w:line="360" w:lineRule="auto"/>
        <w:jc w:val="center"/>
        <w:rPr>
          <w:rFonts w:hint="eastAsia" w:ascii="宋体" w:hAnsi="宋体" w:cs="黑体"/>
          <w:b/>
          <w:color w:val="auto"/>
          <w:spacing w:val="170"/>
          <w:kern w:val="0"/>
          <w:sz w:val="84"/>
          <w:szCs w:val="84"/>
          <w:highlight w:val="none"/>
        </w:rPr>
      </w:pPr>
      <w:bookmarkStart w:id="42" w:name="_GoBack"/>
    </w:p>
    <w:p w14:paraId="4287FBCE">
      <w:pPr>
        <w:snapToGrid w:val="0"/>
        <w:spacing w:line="360" w:lineRule="auto"/>
        <w:jc w:val="both"/>
        <w:rPr>
          <w:rFonts w:hint="eastAsia" w:ascii="宋体" w:hAnsi="宋体" w:cs="黑体"/>
          <w:b/>
          <w:color w:val="auto"/>
          <w:spacing w:val="170"/>
          <w:kern w:val="0"/>
          <w:sz w:val="84"/>
          <w:szCs w:val="84"/>
          <w:highlight w:val="none"/>
        </w:rPr>
      </w:pPr>
    </w:p>
    <w:p w14:paraId="674791C4">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14:paraId="0A097915">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30A7C851">
      <w:pPr>
        <w:adjustRightInd w:val="0"/>
        <w:snapToGrid w:val="0"/>
        <w:spacing w:line="800" w:lineRule="exact"/>
        <w:rPr>
          <w:rFonts w:ascii="宋体" w:hAnsi="宋体" w:cs="宋体"/>
          <w:color w:val="auto"/>
          <w:sz w:val="44"/>
          <w:szCs w:val="44"/>
          <w:highlight w:val="none"/>
        </w:rPr>
      </w:pPr>
    </w:p>
    <w:p w14:paraId="50B9A8E8">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SYZB-SJ-2026007</w:t>
      </w:r>
    </w:p>
    <w:p w14:paraId="391E3B1F">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常州市滑稽剧团《万象归春》灯光租赁项目</w:t>
      </w:r>
    </w:p>
    <w:p w14:paraId="4DC05C2C">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江苏常州市滑稽剧团</w:t>
      </w:r>
    </w:p>
    <w:p w14:paraId="1312C66B">
      <w:pPr>
        <w:spacing w:line="680" w:lineRule="exact"/>
        <w:jc w:val="center"/>
        <w:rPr>
          <w:rFonts w:ascii="宋体" w:hAnsi="宋体" w:cs="宋体"/>
          <w:color w:val="auto"/>
          <w:sz w:val="44"/>
          <w:szCs w:val="44"/>
          <w:highlight w:val="none"/>
        </w:rPr>
      </w:pPr>
    </w:p>
    <w:p w14:paraId="0483D1B2">
      <w:pPr>
        <w:spacing w:line="680" w:lineRule="exact"/>
        <w:jc w:val="center"/>
        <w:rPr>
          <w:rFonts w:ascii="宋体" w:hAnsi="宋体" w:cs="宋体"/>
          <w:color w:val="auto"/>
          <w:sz w:val="44"/>
          <w:szCs w:val="44"/>
          <w:highlight w:val="none"/>
        </w:rPr>
      </w:pPr>
    </w:p>
    <w:p w14:paraId="2E8959AA">
      <w:pPr>
        <w:spacing w:line="480" w:lineRule="exact"/>
        <w:jc w:val="center"/>
        <w:rPr>
          <w:rFonts w:ascii="宋体" w:hAnsi="宋体" w:cs="宋体"/>
          <w:color w:val="auto"/>
          <w:sz w:val="36"/>
          <w:szCs w:val="36"/>
          <w:highlight w:val="none"/>
        </w:rPr>
      </w:pPr>
    </w:p>
    <w:p w14:paraId="215F291E">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14:paraId="75AC9999">
      <w:pPr>
        <w:jc w:val="center"/>
        <w:rPr>
          <w:rFonts w:ascii="宋体" w:hAnsi="宋体" w:cs="宋体"/>
          <w:color w:val="auto"/>
          <w:sz w:val="36"/>
          <w:szCs w:val="36"/>
          <w:highlight w:val="none"/>
        </w:rPr>
      </w:pPr>
    </w:p>
    <w:p w14:paraId="4C573BD3">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五</w:t>
      </w:r>
      <w:r>
        <w:rPr>
          <w:rFonts w:hint="eastAsia" w:ascii="宋体" w:hAnsi="宋体" w:cs="宋体"/>
          <w:color w:val="auto"/>
          <w:w w:val="90"/>
          <w:sz w:val="44"/>
          <w:szCs w:val="44"/>
          <w:highlight w:val="none"/>
        </w:rPr>
        <w:t>月</w:t>
      </w:r>
    </w:p>
    <w:p w14:paraId="114A2994">
      <w:pPr>
        <w:spacing w:before="100" w:after="240" w:line="500" w:lineRule="exact"/>
        <w:jc w:val="center"/>
        <w:rPr>
          <w:rFonts w:ascii="宋体" w:hAnsi="宋体" w:cs="宋体"/>
          <w:b/>
          <w:color w:val="auto"/>
          <w:sz w:val="44"/>
          <w:szCs w:val="44"/>
          <w:highlight w:val="none"/>
        </w:rPr>
      </w:pPr>
    </w:p>
    <w:p w14:paraId="2F1E5957">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075C1AC3">
      <w:pPr>
        <w:rPr>
          <w:color w:val="auto"/>
          <w:highlight w:val="none"/>
        </w:rPr>
      </w:pPr>
    </w:p>
    <w:p w14:paraId="51BBDAE0">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5B6FFE5E">
      <w:pPr>
        <w:spacing w:before="100" w:after="240" w:line="500" w:lineRule="exact"/>
        <w:jc w:val="center"/>
        <w:rPr>
          <w:rFonts w:ascii="宋体" w:hAnsi="宋体" w:cs="宋体"/>
          <w:b/>
          <w:color w:val="auto"/>
          <w:sz w:val="44"/>
          <w:szCs w:val="44"/>
          <w:highlight w:val="none"/>
        </w:rPr>
      </w:pPr>
    </w:p>
    <w:p w14:paraId="217E70A6">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3-4</w:t>
      </w:r>
    </w:p>
    <w:p w14:paraId="25D5E1A1">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5-12</w:t>
      </w:r>
    </w:p>
    <w:p w14:paraId="2DAF271F">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13</w:t>
      </w:r>
    </w:p>
    <w:p w14:paraId="548270DB">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14</w:t>
      </w:r>
    </w:p>
    <w:p w14:paraId="2261E59D">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15-17</w:t>
      </w:r>
    </w:p>
    <w:p w14:paraId="1019C1FA">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18</w:t>
      </w:r>
    </w:p>
    <w:p w14:paraId="001A0B5C">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19-26</w:t>
      </w:r>
    </w:p>
    <w:p w14:paraId="2DE6E09E">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27</w:t>
      </w:r>
    </w:p>
    <w:p w14:paraId="49648EA0">
      <w:pPr>
        <w:spacing w:line="360" w:lineRule="auto"/>
        <w:jc w:val="center"/>
        <w:rPr>
          <w:rFonts w:ascii="宋体" w:hAnsi="宋体" w:cs="宋体"/>
          <w:b/>
          <w:bCs/>
          <w:color w:val="auto"/>
          <w:sz w:val="24"/>
          <w:szCs w:val="24"/>
          <w:highlight w:val="none"/>
        </w:rPr>
      </w:pPr>
    </w:p>
    <w:p w14:paraId="286E3E91">
      <w:pPr>
        <w:spacing w:line="360" w:lineRule="auto"/>
        <w:jc w:val="center"/>
        <w:rPr>
          <w:rFonts w:ascii="宋体" w:hAnsi="宋体" w:cs="宋体"/>
          <w:b/>
          <w:bCs/>
          <w:color w:val="auto"/>
          <w:sz w:val="24"/>
          <w:szCs w:val="24"/>
          <w:highlight w:val="none"/>
        </w:rPr>
      </w:pPr>
    </w:p>
    <w:p w14:paraId="263CF27F">
      <w:pPr>
        <w:spacing w:line="360" w:lineRule="auto"/>
        <w:jc w:val="center"/>
        <w:rPr>
          <w:rFonts w:ascii="宋体" w:hAnsi="宋体" w:cs="宋体"/>
          <w:b/>
          <w:bCs/>
          <w:color w:val="auto"/>
          <w:sz w:val="24"/>
          <w:szCs w:val="24"/>
          <w:highlight w:val="none"/>
        </w:rPr>
      </w:pPr>
    </w:p>
    <w:p w14:paraId="24039D0C">
      <w:pPr>
        <w:spacing w:line="360" w:lineRule="auto"/>
        <w:jc w:val="center"/>
        <w:rPr>
          <w:rFonts w:ascii="宋体" w:hAnsi="宋体" w:cs="宋体"/>
          <w:b/>
          <w:bCs/>
          <w:color w:val="auto"/>
          <w:sz w:val="24"/>
          <w:szCs w:val="24"/>
          <w:highlight w:val="none"/>
        </w:rPr>
      </w:pPr>
    </w:p>
    <w:p w14:paraId="2A154E8B">
      <w:pPr>
        <w:spacing w:line="360" w:lineRule="auto"/>
        <w:rPr>
          <w:rFonts w:ascii="宋体" w:hAnsi="宋体" w:cs="宋体"/>
          <w:b/>
          <w:bCs/>
          <w:color w:val="auto"/>
          <w:sz w:val="24"/>
          <w:szCs w:val="24"/>
          <w:highlight w:val="none"/>
        </w:rPr>
      </w:pPr>
    </w:p>
    <w:p w14:paraId="29A91E0C">
      <w:pPr>
        <w:spacing w:line="360" w:lineRule="auto"/>
        <w:rPr>
          <w:rFonts w:ascii="宋体" w:hAnsi="宋体" w:cs="宋体"/>
          <w:b/>
          <w:bCs/>
          <w:color w:val="auto"/>
          <w:sz w:val="24"/>
          <w:szCs w:val="24"/>
          <w:highlight w:val="none"/>
        </w:rPr>
      </w:pPr>
    </w:p>
    <w:p w14:paraId="39D7808D">
      <w:pPr>
        <w:spacing w:line="360" w:lineRule="auto"/>
        <w:rPr>
          <w:rFonts w:ascii="宋体" w:hAnsi="宋体" w:cs="宋体"/>
          <w:b/>
          <w:bCs/>
          <w:color w:val="auto"/>
          <w:sz w:val="24"/>
          <w:szCs w:val="24"/>
          <w:highlight w:val="none"/>
        </w:rPr>
      </w:pPr>
    </w:p>
    <w:p w14:paraId="0F4CF6D9">
      <w:pPr>
        <w:spacing w:line="360" w:lineRule="auto"/>
        <w:rPr>
          <w:rFonts w:ascii="宋体" w:hAnsi="宋体" w:cs="宋体"/>
          <w:b/>
          <w:bCs/>
          <w:color w:val="auto"/>
          <w:sz w:val="24"/>
          <w:szCs w:val="24"/>
          <w:highlight w:val="none"/>
        </w:rPr>
      </w:pPr>
    </w:p>
    <w:p w14:paraId="58830CF2">
      <w:pPr>
        <w:spacing w:line="360" w:lineRule="auto"/>
        <w:rPr>
          <w:rFonts w:ascii="宋体" w:hAnsi="宋体" w:cs="宋体"/>
          <w:b/>
          <w:bCs/>
          <w:color w:val="auto"/>
          <w:sz w:val="24"/>
          <w:szCs w:val="24"/>
          <w:highlight w:val="none"/>
        </w:rPr>
      </w:pPr>
    </w:p>
    <w:p w14:paraId="5A13C996">
      <w:pPr>
        <w:spacing w:line="360" w:lineRule="auto"/>
        <w:rPr>
          <w:rFonts w:ascii="宋体" w:hAnsi="宋体" w:cs="宋体"/>
          <w:b/>
          <w:bCs/>
          <w:color w:val="auto"/>
          <w:sz w:val="24"/>
          <w:szCs w:val="24"/>
          <w:highlight w:val="none"/>
        </w:rPr>
      </w:pPr>
    </w:p>
    <w:p w14:paraId="7A6FFB18">
      <w:pPr>
        <w:spacing w:line="360" w:lineRule="auto"/>
        <w:rPr>
          <w:rFonts w:ascii="宋体" w:hAnsi="宋体" w:cs="宋体"/>
          <w:b/>
          <w:bCs/>
          <w:color w:val="auto"/>
          <w:sz w:val="24"/>
          <w:szCs w:val="24"/>
          <w:highlight w:val="none"/>
        </w:rPr>
      </w:pPr>
    </w:p>
    <w:p w14:paraId="1C0FFF9F">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14:paraId="2F64777E">
      <w:pPr>
        <w:snapToGrid w:val="0"/>
        <w:jc w:val="center"/>
        <w:rPr>
          <w:rFonts w:hint="eastAsia" w:ascii="宋体" w:hAnsi="宋体"/>
          <w:b/>
          <w:color w:val="auto"/>
          <w:sz w:val="28"/>
          <w:szCs w:val="28"/>
          <w:highlight w:val="none"/>
        </w:rPr>
      </w:pPr>
      <w:bookmarkStart w:id="0" w:name="_Toc28359011"/>
      <w:bookmarkStart w:id="1" w:name="_Toc35393797"/>
      <w:bookmarkStart w:id="2" w:name="_Toc28359001"/>
      <w:bookmarkStart w:id="3" w:name="_Toc35393789"/>
      <w:r>
        <w:rPr>
          <w:rFonts w:hint="eastAsia" w:ascii="宋体" w:hAnsi="宋体"/>
          <w:b/>
          <w:color w:val="auto"/>
          <w:sz w:val="28"/>
          <w:szCs w:val="28"/>
          <w:highlight w:val="none"/>
          <w:lang w:eastAsia="zh-CN"/>
        </w:rPr>
        <w:t>常州市滑稽剧团《万象归春》灯光租赁项目</w:t>
      </w:r>
      <w:r>
        <w:rPr>
          <w:rFonts w:hint="eastAsia" w:ascii="宋体" w:hAnsi="宋体"/>
          <w:b/>
          <w:color w:val="auto"/>
          <w:sz w:val="28"/>
          <w:szCs w:val="28"/>
          <w:highlight w:val="none"/>
        </w:rPr>
        <w:t>竞争性谈判公告</w:t>
      </w:r>
      <w:bookmarkEnd w:id="0"/>
      <w:bookmarkEnd w:id="1"/>
    </w:p>
    <w:p w14:paraId="53B8176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798"/>
      <w:bookmarkStart w:id="5" w:name="_Toc35393629"/>
      <w:bookmarkStart w:id="6" w:name="_Toc28359012"/>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常州市滑稽剧团《万象归春》灯光租赁项目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2026年5月22</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9</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14:paraId="7A234F24">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14:paraId="6584BDC1">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SYZB-SJ-2026007</w:t>
      </w:r>
    </w:p>
    <w:p w14:paraId="21696A4D">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常州市滑稽剧团《万象归春》灯光租赁项目</w:t>
      </w:r>
    </w:p>
    <w:p w14:paraId="3042A75F">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14:paraId="75CC0E2A">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16万元</w:t>
      </w:r>
    </w:p>
    <w:p w14:paraId="49DF865B">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16万元</w:t>
      </w:r>
    </w:p>
    <w:p w14:paraId="04D49787">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常州市滑稽剧团《万象归春》灯光租赁项目</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eastAsia="zh-CN"/>
        </w:rPr>
        <w:t>滑稽戏《万象归春》入选省舞台艺术精品创作扶持工程，需要4场演出。演出过程中，为了更好的舞台表现，需要租赁一批灯光</w:t>
      </w:r>
      <w:r>
        <w:rPr>
          <w:rFonts w:hint="eastAsia" w:asciiTheme="minorEastAsia" w:hAnsiTheme="minorEastAsia" w:eastAsiaTheme="minorEastAsia" w:cstheme="minorEastAsia"/>
          <w:color w:val="auto"/>
          <w:spacing w:val="2"/>
          <w:szCs w:val="21"/>
          <w:highlight w:val="none"/>
          <w:u w:val="none"/>
        </w:rPr>
        <w:t>。</w:t>
      </w:r>
    </w:p>
    <w:p w14:paraId="06541E0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eastAsia="zh-CN"/>
        </w:rPr>
        <w:t>12天（按实际使用天数计算）</w:t>
      </w:r>
      <w:r>
        <w:rPr>
          <w:rFonts w:hint="eastAsia" w:cs="宋体" w:asciiTheme="minorEastAsia" w:hAnsiTheme="minorEastAsia" w:eastAsiaTheme="minorEastAsia"/>
          <w:color w:val="auto"/>
          <w:szCs w:val="21"/>
          <w:highlight w:val="none"/>
        </w:rPr>
        <w:t>。</w:t>
      </w:r>
    </w:p>
    <w:p w14:paraId="54B8318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14:paraId="6A4D4DA5">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35393630"/>
      <w:bookmarkStart w:id="9" w:name="_Toc28359090"/>
      <w:bookmarkStart w:id="10" w:name="_Toc28359013"/>
      <w:bookmarkStart w:id="11" w:name="_Toc35393799"/>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14:paraId="58E437D4">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14:paraId="74CB0959">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14:paraId="36E8F9B1">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14:paraId="5C4D5B6D">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w:t>
      </w:r>
      <w:r>
        <w:rPr>
          <w:rFonts w:hint="eastAsia" w:cs="宋体" w:asciiTheme="minorEastAsia" w:hAnsiTheme="minorEastAsia" w:eastAsiaTheme="minorEastAsia"/>
          <w:color w:val="auto"/>
          <w:szCs w:val="21"/>
          <w:highlight w:val="none"/>
          <w:lang w:val="en-US" w:eastAsia="zh-CN"/>
        </w:rPr>
        <w:t>直接</w:t>
      </w:r>
      <w:r>
        <w:rPr>
          <w:rFonts w:hint="eastAsia" w:cs="宋体" w:asciiTheme="minorEastAsia" w:hAnsiTheme="minorEastAsia" w:eastAsiaTheme="minorEastAsia"/>
          <w:color w:val="auto"/>
          <w:szCs w:val="21"/>
          <w:highlight w:val="none"/>
          <w:lang w:eastAsia="zh-CN"/>
        </w:rPr>
        <w:t>控股、管理关系的不同供应商，不得参加同一合同项下的采购活动；</w:t>
      </w:r>
    </w:p>
    <w:p w14:paraId="37337CF6">
      <w:pPr>
        <w:snapToGrid w:val="0"/>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2）未被“信用中国”网站（www.creditchina.gov.cn）或“中国政府采购网”网站（www.ccgp.gov.cn）列入失信被执行人、重大税收违法案件当事人名单(即重大税收违法失信主体名单)、政府采购严重违法失信行为记录名单（采购代理机构谈判当天查询，供应商无需提供证明材料）。</w:t>
      </w:r>
    </w:p>
    <w:p w14:paraId="0BB32E20">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14:paraId="7D51247A">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2026年5月15</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14:paraId="0A5A1A66">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常州市新北区嵩山路1-301号（太湖明珠苑综合市场3楼）</w:t>
      </w:r>
      <w:r>
        <w:rPr>
          <w:rFonts w:hint="eastAsia" w:cs="宋体" w:asciiTheme="minorEastAsia" w:hAnsiTheme="minorEastAsia" w:eastAsiaTheme="minorEastAsia"/>
          <w:color w:val="auto"/>
          <w:szCs w:val="21"/>
          <w:highlight w:val="none"/>
        </w:rPr>
        <w:t>）综合办</w:t>
      </w:r>
    </w:p>
    <w:p w14:paraId="3C79347E">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14:paraId="5FE50F8C">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14:paraId="78CEAD92">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15"/>
      <w:bookmarkStart w:id="17" w:name="_Toc35393801"/>
      <w:bookmarkStart w:id="18" w:name="_Toc35393632"/>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14:paraId="0055E24C">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2026年5月22</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9</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14:paraId="273C0C76">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w:t>
      </w:r>
      <w:r>
        <w:rPr>
          <w:rFonts w:hint="eastAsia" w:cs="宋体" w:asciiTheme="minorEastAsia" w:hAnsiTheme="minorEastAsia" w:eastAsiaTheme="minorEastAsia"/>
          <w:b w:val="0"/>
          <w:bCs w:val="0"/>
          <w:color w:val="auto"/>
          <w:szCs w:val="21"/>
          <w:highlight w:val="none"/>
          <w:lang w:eastAsia="zh-CN"/>
        </w:rPr>
        <w:t>常州市新北区嵩山路1-301号（太湖明珠苑综合市场3楼）</w:t>
      </w:r>
      <w:r>
        <w:rPr>
          <w:rFonts w:hint="eastAsia" w:cs="宋体" w:asciiTheme="minorEastAsia" w:hAnsiTheme="minorEastAsia" w:eastAsiaTheme="minorEastAsia"/>
          <w:b w:val="0"/>
          <w:bCs w:val="0"/>
          <w:color w:val="auto"/>
          <w:szCs w:val="21"/>
          <w:highlight w:val="none"/>
        </w:rPr>
        <w:t>）</w:t>
      </w:r>
    </w:p>
    <w:p w14:paraId="567E29D7">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35393803"/>
      <w:bookmarkStart w:id="21" w:name="_Toc28359017"/>
      <w:bookmarkStart w:id="22" w:name="_Toc28359094"/>
      <w:bookmarkStart w:id="23" w:name="_Toc35393634"/>
      <w:r>
        <w:rPr>
          <w:rFonts w:hint="eastAsia" w:asciiTheme="minorEastAsia" w:hAnsiTheme="minorEastAsia" w:eastAsiaTheme="minorEastAsia"/>
          <w:b/>
          <w:bCs/>
          <w:color w:val="auto"/>
          <w:szCs w:val="21"/>
          <w:highlight w:val="none"/>
        </w:rPr>
        <w:t>五、公告期限</w:t>
      </w:r>
      <w:bookmarkEnd w:id="20"/>
      <w:bookmarkEnd w:id="21"/>
      <w:bookmarkEnd w:id="22"/>
      <w:bookmarkEnd w:id="23"/>
    </w:p>
    <w:p w14:paraId="75665111">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14:paraId="74D4057D">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14:paraId="400F7678">
      <w:pPr>
        <w:spacing w:line="360" w:lineRule="exact"/>
        <w:ind w:firstLine="420" w:firstLineChars="200"/>
        <w:rPr>
          <w:rFonts w:hint="eastAsia" w:cs="宋体" w:asciiTheme="minorEastAsia" w:hAnsiTheme="minorEastAsia" w:eastAsiaTheme="minorEastAsia"/>
          <w:color w:val="auto"/>
          <w:szCs w:val="21"/>
          <w:highlight w:val="none"/>
        </w:rPr>
      </w:pPr>
      <w:bookmarkStart w:id="26" w:name="_Toc35393636"/>
      <w:bookmarkStart w:id="27" w:name="_Toc28359018"/>
      <w:bookmarkStart w:id="28" w:name="_Toc35393805"/>
      <w:bookmarkStart w:id="29" w:name="_Toc28359095"/>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现场勘查及标前答疑</w:t>
      </w:r>
    </w:p>
    <w:p w14:paraId="6AB9BE97">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14:paraId="0307E55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14:paraId="34841AE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14:paraId="5B619EF0">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2.谈判保证金</w:t>
      </w:r>
    </w:p>
    <w:p w14:paraId="54C724BE">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人民币叁仟贰佰元整</w:t>
      </w:r>
    </w:p>
    <w:p w14:paraId="62335538">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14:paraId="7100E994">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14:paraId="17990920">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14:paraId="5C7A12A3">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到账截止日期：2026年5月21日</w:t>
      </w:r>
    </w:p>
    <w:p w14:paraId="11BFDCE9">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谈判保证金交纳方式：银行电汇或转账</w:t>
      </w:r>
      <w:r>
        <w:rPr>
          <w:rFonts w:hint="eastAsia" w:cs="宋体" w:asciiTheme="minorEastAsia" w:hAnsiTheme="minorEastAsia" w:eastAsiaTheme="minorEastAsia"/>
          <w:b/>
          <w:bCs/>
          <w:color w:val="auto"/>
          <w:szCs w:val="21"/>
          <w:highlight w:val="none"/>
          <w:lang w:val="en-US" w:eastAsia="zh-CN"/>
        </w:rPr>
        <w:t>（备注项目编号）</w:t>
      </w:r>
    </w:p>
    <w:p w14:paraId="32C3C97C">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注：供应商必须自行将谈判保证金从公司账户按规定方式和时间缴至上述指定账户并到账，拒绝以其它方式缴纳，禁止第三方代缴保证金，否则将被视为无效响应，其响应文件将被拒绝。</w:t>
      </w:r>
    </w:p>
    <w:p w14:paraId="67D49CDD">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说明</w:t>
      </w:r>
    </w:p>
    <w:p w14:paraId="223B9C2F">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14:paraId="1F15D678">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14:paraId="5BE7D5E9">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96"/>
      <w:bookmarkStart w:id="31" w:name="_Toc35393637"/>
      <w:bookmarkStart w:id="32" w:name="_Toc28359019"/>
      <w:bookmarkStart w:id="33" w:name="_Toc3539380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14:paraId="1F78BDA5">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江苏常州市滑稽剧团</w:t>
      </w:r>
    </w:p>
    <w:p w14:paraId="024522F6">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地址：常州市长江中路207号</w:t>
      </w:r>
    </w:p>
    <w:p w14:paraId="317779F6">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联系方式：吉女士、18118387791</w:t>
      </w:r>
    </w:p>
    <w:p w14:paraId="332C78EE">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35393638"/>
      <w:bookmarkStart w:id="35" w:name="_Toc28359020"/>
      <w:bookmarkStart w:id="36" w:name="_Toc28359097"/>
      <w:bookmarkStart w:id="37" w:name="_Toc35393807"/>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14:paraId="375568A1">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14:paraId="0171FB96">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地址：</w:t>
      </w:r>
      <w:r>
        <w:rPr>
          <w:rFonts w:hint="eastAsia" w:cs="宋体" w:asciiTheme="minorEastAsia" w:hAnsiTheme="minorEastAsia" w:eastAsiaTheme="minorEastAsia"/>
          <w:color w:val="auto"/>
          <w:szCs w:val="21"/>
          <w:highlight w:val="none"/>
          <w:lang w:eastAsia="zh-CN"/>
        </w:rPr>
        <w:t>常州市新北区嵩山路1-301号（太湖明珠苑综合市场3楼）</w:t>
      </w:r>
    </w:p>
    <w:p w14:paraId="51CB6462">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14:paraId="15824CCC">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28359021"/>
      <w:bookmarkStart w:id="40" w:name="_Toc35393808"/>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14:paraId="5D5EC90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p w14:paraId="7BBD3AB2">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eastAsia="zh-CN"/>
        </w:rPr>
        <w:t>0519-88818295（8000）</w:t>
      </w:r>
    </w:p>
    <w:bookmarkEnd w:id="2"/>
    <w:bookmarkEnd w:id="3"/>
    <w:p w14:paraId="16372CEC">
      <w:pPr>
        <w:snapToGrid w:val="0"/>
        <w:spacing w:line="360" w:lineRule="auto"/>
        <w:jc w:val="left"/>
        <w:rPr>
          <w:rFonts w:hint="eastAsia" w:ascii="宋体" w:hAnsi="宋体"/>
          <w:color w:val="auto"/>
          <w:szCs w:val="21"/>
          <w:highlight w:val="none"/>
        </w:rPr>
      </w:pPr>
    </w:p>
    <w:p w14:paraId="72B010DD">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2968AC93">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14:paraId="4F66E115">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14:paraId="2AAEBEC0">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14:paraId="030B8559">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14:paraId="7724968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14:paraId="18AB6E9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14:paraId="1C122E34">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14:paraId="4AE5F977">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14:paraId="7DB170D6">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14:paraId="1F9034D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14:paraId="0EBA8E3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14:paraId="65B6563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14:paraId="44059E0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14:paraId="5B595BF1">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14:paraId="06DA23E6">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14:paraId="1FCF44BA">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14:paraId="6422D40C">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14:paraId="09A2F016">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14:paraId="67BD6BF3">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14:paraId="2A7B3116">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14:paraId="1DB84D1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14:paraId="34EE767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14:paraId="23A1F846">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14:paraId="1BB7891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14:paraId="3A4B95D0">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14:paraId="0C06256B">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14:paraId="19B9EC10">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14:paraId="5E09E22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14:paraId="57E1998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14:paraId="2192C5F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14:paraId="4B585B8C">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14:paraId="63082E7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14:paraId="306E305B">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14:paraId="4295B4EF">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14:paraId="365EAF68">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14:paraId="690FDD8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14:paraId="33690EC0">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14:paraId="31E74F59">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14:paraId="53E3BEF5">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14:paraId="53C2A1E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14:paraId="5ABEC9B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14:paraId="3E0AD49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14:paraId="4D4C65F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14:paraId="237798A9">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14:paraId="390A9695">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14:paraId="134C80D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lang w:eastAsia="zh-CN"/>
        </w:rPr>
        <w:t>U盘</w:t>
      </w:r>
      <w:r>
        <w:rPr>
          <w:rFonts w:ascii="宋体" w:hAnsi="宋体" w:cs="宋体"/>
          <w:b/>
          <w:bCs/>
          <w:color w:val="auto"/>
          <w:szCs w:val="21"/>
          <w:highlight w:val="none"/>
          <w:u w:val="none"/>
        </w:rPr>
        <w:t>”</w:t>
      </w:r>
      <w:r>
        <w:rPr>
          <w:rFonts w:hint="eastAsia" w:ascii="宋体" w:hAnsi="宋体" w:cs="宋体"/>
          <w:b/>
          <w:color w:val="auto"/>
          <w:szCs w:val="21"/>
          <w:highlight w:val="none"/>
        </w:rPr>
        <w:t>（U盘中须包括</w:t>
      </w:r>
      <w:r>
        <w:rPr>
          <w:rFonts w:hint="eastAsia" w:ascii="宋体" w:hAnsi="宋体" w:cs="宋体"/>
          <w:b/>
          <w:color w:val="auto"/>
          <w:szCs w:val="21"/>
          <w:highlight w:val="none"/>
          <w:lang w:val="en-US" w:eastAsia="zh-CN"/>
        </w:rPr>
        <w:t>谈判响应</w:t>
      </w:r>
      <w:r>
        <w:rPr>
          <w:rFonts w:hint="eastAsia" w:ascii="宋体" w:hAnsi="宋体" w:cs="宋体"/>
          <w:b/>
          <w:color w:val="auto"/>
          <w:szCs w:val="21"/>
          <w:highlight w:val="none"/>
        </w:rPr>
        <w:t>文件正本全套签字盖章PDF版</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WORD版</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并在</w:t>
      </w:r>
      <w:r>
        <w:rPr>
          <w:rFonts w:hint="eastAsia" w:ascii="宋体" w:hAnsi="宋体" w:cs="宋体"/>
          <w:b/>
          <w:color w:val="auto"/>
          <w:szCs w:val="21"/>
          <w:highlight w:val="none"/>
        </w:rPr>
        <w:t>U盘上标明</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名称）</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14:paraId="5E41048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14:paraId="3C3755A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14:paraId="09D919D8">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14:paraId="150FB160">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14:paraId="4DD81E9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14:paraId="78D12907">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14:paraId="59DF1FF5">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14:paraId="1CEFB982">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14:paraId="5A1697C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14:paraId="7DACA6A3">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14:paraId="3658ED49">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14:paraId="4814E1C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14:paraId="384A0FD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14:paraId="173D362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14:paraId="0173B6C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14:paraId="530ACB5C">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14:paraId="55FF2E6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14:paraId="70E99DE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14:paraId="3DE9E7AF">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14:paraId="71E90100">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w:t>
      </w:r>
      <w:r>
        <w:rPr>
          <w:rFonts w:hint="eastAsia" w:ascii="宋体" w:hAnsi="宋体" w:cs="宋体"/>
          <w:color w:val="auto"/>
          <w:szCs w:val="21"/>
          <w:highlight w:val="none"/>
          <w:lang w:eastAsia="zh-CN"/>
        </w:rPr>
        <w:t>候选</w:t>
      </w:r>
      <w:r>
        <w:rPr>
          <w:rFonts w:hint="eastAsia" w:ascii="宋体" w:hAnsi="宋体" w:cs="宋体"/>
          <w:color w:val="auto"/>
          <w:szCs w:val="21"/>
          <w:highlight w:val="none"/>
        </w:rPr>
        <w:t>人。</w:t>
      </w:r>
    </w:p>
    <w:p w14:paraId="5CDCC37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14:paraId="6FAC510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14:paraId="4966601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14:paraId="6DD932C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14:paraId="4C1B6E7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14:paraId="789C6487">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14:paraId="0CE1B208">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14:paraId="4E3F0C38">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16.2.7对于谈判响应文件中不构成实质性偏差的不正规、不一致或不规则，谈判小组可以接受，但这种接受不能损坏或影响任何供应商的相对顺序。</w:t>
      </w:r>
    </w:p>
    <w:p w14:paraId="05C34DB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14:paraId="27D494C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14:paraId="0A1892A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14:paraId="34F47B8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14:paraId="1E2C304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14:paraId="0AFD7DC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14:paraId="5116732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14:paraId="09E048A2">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14:paraId="5FE6B089">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14:paraId="06EDB30E">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14:paraId="7775FCFA">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14:paraId="1C3A64B1">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14:paraId="40E0ACD9">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14:paraId="34127A11">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14:paraId="63F91EA0">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14:paraId="65473718">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14:paraId="7FB81F3A">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14:paraId="53DBA43E">
      <w:pPr>
        <w:pStyle w:val="3"/>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14:paraId="4EEBE7C5">
      <w:pPr>
        <w:pStyle w:val="3"/>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14:paraId="61608F4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14:paraId="6E7871C2">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14:paraId="3368F27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hint="eastAsia" w:ascii="宋体" w:hAnsi="宋体" w:cs="宋体"/>
          <w:color w:val="auto"/>
          <w:szCs w:val="21"/>
          <w:highlight w:val="none"/>
          <w:lang w:eastAsia="zh-CN"/>
        </w:rPr>
        <w:t>U盘</w:t>
      </w:r>
      <w:r>
        <w:rPr>
          <w:rFonts w:ascii="宋体" w:hAnsi="宋体" w:cs="宋体"/>
          <w:color w:val="auto"/>
          <w:szCs w:val="21"/>
          <w:highlight w:val="none"/>
        </w:rPr>
        <w:t>未提供或未单独密封的</w:t>
      </w:r>
      <w:r>
        <w:rPr>
          <w:rFonts w:hint="eastAsia" w:ascii="宋体" w:hAnsi="宋体" w:cs="宋体"/>
          <w:color w:val="auto"/>
          <w:szCs w:val="21"/>
          <w:highlight w:val="none"/>
        </w:rPr>
        <w:t>；</w:t>
      </w:r>
    </w:p>
    <w:p w14:paraId="104D2234">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供应商被列入失信被执行人、重大税收违法案件当事人名单(即重大税收违法失信主体名单)、政府采购严重违法失信行为记录名单</w:t>
      </w:r>
      <w:r>
        <w:rPr>
          <w:rFonts w:hint="eastAsia" w:ascii="宋体" w:hAnsi="宋体" w:cs="宋体"/>
          <w:b/>
          <w:color w:val="auto"/>
          <w:szCs w:val="21"/>
          <w:highlight w:val="none"/>
          <w:lang w:val="en-US" w:eastAsia="zh-CN"/>
        </w:rPr>
        <w:t>的</w:t>
      </w:r>
      <w:r>
        <w:rPr>
          <w:rFonts w:hint="eastAsia" w:ascii="宋体" w:hAnsi="宋体" w:cs="宋体"/>
          <w:b/>
          <w:color w:val="auto"/>
          <w:szCs w:val="21"/>
          <w:highlight w:val="none"/>
        </w:rPr>
        <w:t>（查询渠道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w:t>
      </w:r>
      <w:r>
        <w:rPr>
          <w:rFonts w:hint="eastAsia" w:ascii="宋体" w:hAnsi="宋体"/>
          <w:b/>
          <w:color w:val="auto"/>
          <w:szCs w:val="21"/>
          <w:highlight w:val="none"/>
          <w:lang w:eastAsia="zh-CN"/>
        </w:rPr>
        <w:t>、</w:t>
      </w:r>
      <w:r>
        <w:rPr>
          <w:rFonts w:hint="eastAsia" w:ascii="宋体" w:hAnsi="宋体"/>
          <w:b/>
          <w:color w:val="auto"/>
          <w:szCs w:val="21"/>
          <w:highlight w:val="none"/>
        </w:rPr>
        <w:t>“中国政府采购网”网站（www.ccgp.gov.cn）的相关主体信用</w:t>
      </w:r>
      <w:r>
        <w:rPr>
          <w:rFonts w:hint="eastAsia" w:ascii="宋体" w:hAnsi="宋体" w:cs="宋体"/>
          <w:b/>
          <w:color w:val="auto"/>
          <w:szCs w:val="21"/>
          <w:highlight w:val="none"/>
        </w:rPr>
        <w:t>）。</w:t>
      </w:r>
    </w:p>
    <w:p w14:paraId="37C1521B">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14:paraId="4A317751">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lang w:eastAsia="zh-CN"/>
        </w:rPr>
        <w:t>★</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lang w:eastAsia="zh-CN"/>
        </w:rPr>
        <w:t>★</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14:paraId="145E020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14:paraId="4B858833">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14:paraId="5A86AB4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14:paraId="2B4CC896">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项目报有两个或多个报价，且未书面确定以哪个报价为准的；</w:t>
      </w:r>
    </w:p>
    <w:p w14:paraId="03306729">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14:paraId="07247ECA">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rPr>
        <w:t>18.3.12由</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审查，报价合理的予以通过。根据财库〔2026〕2号《关于推动解决政府采购异常低价问题的通知》文件规定，评审中出现下列情形之一的，</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应当启动异常低价投标审查程序:</w:t>
      </w:r>
    </w:p>
    <w:p w14:paraId="1365AB70">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投标（响应）报价低于全部通过符合性审查供应商投标（响应）报价平均值50%的，即投标（响应）报价&lt;全部通过符合性审查供应商投标（响应）报价平均值×50%；</w:t>
      </w:r>
    </w:p>
    <w:p w14:paraId="032E9825">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投标（响应）报价低于通过符合性审查的次低报价供应商投标（响应）报价50%的，即投标（响应）报价&lt;通过符合性审查的次低报价供应商投标（响应）报价×50%；</w:t>
      </w:r>
    </w:p>
    <w:p w14:paraId="498897A4">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投标（响应）报价低于采购项目最高限价45%的，即投标（响应）报价&lt;采购项目最高限价×45%；</w:t>
      </w:r>
    </w:p>
    <w:p w14:paraId="48698754">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认定的</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报价过低、有可能影响产品质量或者不能诚信履约的其他情形。</w:t>
      </w:r>
    </w:p>
    <w:p w14:paraId="0023CAF2">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rPr>
        <w:t>启动异常低价投标审查后，</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应当要求相关</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在合理的时间内，提供项目具体成本测算等与报价合理性相关的书面说明及相关证明材料，对</w:t>
      </w:r>
      <w:r>
        <w:rPr>
          <w:rFonts w:hint="eastAsia" w:ascii="宋体" w:hAnsi="宋体" w:cs="宋体"/>
          <w:b/>
          <w:color w:val="auto"/>
          <w:szCs w:val="21"/>
          <w:highlight w:val="none"/>
          <w:lang w:val="en-US" w:eastAsia="zh-CN"/>
        </w:rPr>
        <w:t>谈判</w:t>
      </w:r>
      <w:r>
        <w:rPr>
          <w:rFonts w:hint="eastAsia" w:ascii="宋体" w:hAnsi="宋体" w:cs="宋体"/>
          <w:b/>
          <w:color w:val="auto"/>
          <w:szCs w:val="21"/>
          <w:highlight w:val="none"/>
        </w:rPr>
        <w:t>价格作出解释，由</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结合同类产品在主要电商平台的价格、该行业当地薪资水平等情况对</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报价合理性进行判断。</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不提供书面说明、证明材料，或者提供的书面说明、证明材料不能证明其报价合理性的，</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应当将其作为无效</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处理。审查相关情况应当在评审报告中进行记录。</w:t>
      </w:r>
    </w:p>
    <w:p w14:paraId="73BEA4FA">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14:paraId="6D17A827">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14:paraId="66873E9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14:paraId="112403BE">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14:paraId="7A14FD3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14:paraId="7178292E">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14:paraId="5E25B41E">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14:paraId="0E00056A">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14:paraId="027FC9F3">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14:paraId="6DA6336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14:paraId="420D1222">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14:paraId="1B1273D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6605895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14:paraId="4B39D75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14:paraId="3EABE7E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14:paraId="600901F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14:paraId="6E2264E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14:paraId="4145810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14:paraId="23DAA0E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14:paraId="6DC20F9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14:paraId="6FD4B47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14:paraId="52878E7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14:paraId="7F7EB72B">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14:paraId="212DFBB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14:paraId="38B3D41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14:paraId="492D597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14:paraId="6A44B89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14:paraId="1755A39A">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14:paraId="152F9B72">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14:paraId="5C334F9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14:paraId="08011D7C">
      <w:pPr>
        <w:pStyle w:val="3"/>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2"/>
          <w:rFonts w:hint="eastAsia" w:hAnsi="宋体" w:cs="宋体"/>
          <w:color w:val="auto"/>
          <w:sz w:val="21"/>
          <w:szCs w:val="21"/>
          <w:highlight w:val="none"/>
        </w:rPr>
        <w:t>成交结果</w:t>
      </w:r>
      <w:r>
        <w:rPr>
          <w:rFonts w:hint="eastAsia" w:hAnsi="宋体" w:cs="宋体"/>
          <w:b/>
          <w:color w:val="auto"/>
          <w:sz w:val="21"/>
          <w:szCs w:val="21"/>
          <w:highlight w:val="none"/>
        </w:rPr>
        <w:t>及公示</w:t>
      </w:r>
    </w:p>
    <w:p w14:paraId="2602750B">
      <w:pPr>
        <w:pStyle w:val="3"/>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14:paraId="0D5F18F0">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14:paraId="65E02F0E">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14:paraId="1531413E">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14:paraId="705CBA8B">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14:paraId="6BE21F6A">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14:paraId="100A73E3">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14:paraId="5D659A84">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14:paraId="2D4A9272">
      <w:pPr>
        <w:pStyle w:val="3"/>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14:paraId="09D89437">
      <w:pPr>
        <w:pStyle w:val="3"/>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14:paraId="2DA42A9D">
      <w:pPr>
        <w:pStyle w:val="3"/>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14:paraId="7A72F738">
      <w:pPr>
        <w:pStyle w:val="3"/>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14:paraId="6B6478A3">
      <w:pPr>
        <w:pStyle w:val="3"/>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14:paraId="416FA042">
      <w:pPr>
        <w:pStyle w:val="3"/>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14:paraId="13DDADAF">
      <w:pPr>
        <w:pStyle w:val="3"/>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14:paraId="2CBEBBFA">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14:paraId="04926B1E">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w:t>
      </w:r>
      <w:r>
        <w:rPr>
          <w:rFonts w:hint="eastAsia" w:ascii="宋体" w:hAnsi="宋体" w:cs="宋体"/>
          <w:b w:val="0"/>
          <w:bCs/>
          <w:color w:val="auto"/>
          <w:szCs w:val="21"/>
          <w:highlight w:val="none"/>
          <w:lang w:val="en-US" w:eastAsia="zh-CN"/>
        </w:rPr>
        <w:t>的95.8%</w:t>
      </w:r>
      <w:r>
        <w:rPr>
          <w:rFonts w:hint="eastAsia" w:ascii="宋体" w:hAnsi="宋体" w:cs="宋体"/>
          <w:b w:val="0"/>
          <w:bCs/>
          <w:color w:val="auto"/>
          <w:szCs w:val="21"/>
          <w:highlight w:val="none"/>
          <w:lang w:eastAsia="zh-CN"/>
        </w:rPr>
        <w:t>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，成交供应商应在领取成交通知书时将成交服务费付至采购代理机构收取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w:t>
      </w:r>
      <w:r>
        <w:rPr>
          <w:rFonts w:hint="eastAsia" w:ascii="宋体" w:hAnsi="宋体" w:cs="宋体"/>
          <w:b w:val="0"/>
          <w:bCs/>
          <w:color w:val="auto"/>
          <w:szCs w:val="21"/>
          <w:highlight w:val="none"/>
          <w:lang w:eastAsia="zh-CN"/>
        </w:rPr>
        <w:t>账</w:t>
      </w:r>
      <w:r>
        <w:rPr>
          <w:rFonts w:hint="eastAsia" w:ascii="宋体" w:hAnsi="宋体" w:cs="宋体"/>
          <w:b w:val="0"/>
          <w:bCs/>
          <w:color w:val="auto"/>
          <w:szCs w:val="21"/>
          <w:highlight w:val="none"/>
        </w:rPr>
        <w:t>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14:paraId="5DC02498">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0"/>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14:paraId="533C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14:paraId="43410BBD">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14:paraId="14D6D3DF">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14:paraId="017A5E38">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14:paraId="76C0C34C">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14:paraId="74A51592">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14:paraId="7C8D8C41">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14:paraId="079AAA11">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14:paraId="2084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444A67A0">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14:paraId="035FF633">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14:paraId="29BF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575848CA">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14:paraId="6F2FF2F1">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14:paraId="7A05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14:paraId="0B5E5A33">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14:paraId="7DAC1323">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14:paraId="1CF0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5F2F4B2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14:paraId="70FDE4F9">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14:paraId="0EDE6B61">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14:paraId="5DB6AA7A">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14:paraId="59BFB67F">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24.2.3评委费由成交供应商按实支付给采购代理机构。</w:t>
      </w:r>
    </w:p>
    <w:p w14:paraId="619A2067">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14:paraId="71D83F6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14:paraId="110A761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14:paraId="5F6CFC3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14:paraId="79DBA5B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14:paraId="631802E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14:paraId="36561999">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14:paraId="29A04BDA">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14:paraId="659D65D0">
      <w:pPr>
        <w:spacing w:line="360" w:lineRule="exact"/>
        <w:ind w:firstLine="420" w:firstLineChars="200"/>
        <w:rPr>
          <w:rFonts w:hint="eastAsia" w:ascii="宋体" w:hAnsi="宋体" w:cs="宋体"/>
          <w:color w:val="auto"/>
          <w:szCs w:val="21"/>
          <w:highlight w:val="none"/>
          <w:lang w:eastAsia="zh-CN"/>
        </w:rPr>
      </w:pPr>
    </w:p>
    <w:p w14:paraId="3323B0A2">
      <w:pPr>
        <w:pStyle w:val="4"/>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14:paraId="23EB5903">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14:paraId="3DA5F0B5">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响应文件中提供的材料</w:t>
      </w:r>
      <w:r>
        <w:rPr>
          <w:rFonts w:ascii="宋体" w:hAnsi="宋体"/>
          <w:b/>
          <w:bCs/>
          <w:color w:val="auto"/>
          <w:szCs w:val="21"/>
          <w:highlight w:val="none"/>
        </w:rPr>
        <w:t>均需加盖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14:paraId="7076A479">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p>
    <w:p w14:paraId="012C2279">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14:paraId="7BA0B890">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lang w:eastAsia="zh-CN"/>
        </w:rPr>
        <w:t>★</w:t>
      </w:r>
      <w:r>
        <w:rPr>
          <w:rFonts w:ascii="宋体" w:hAnsi="宋体"/>
          <w:color w:val="auto"/>
          <w:szCs w:val="21"/>
          <w:highlight w:val="none"/>
        </w:rPr>
        <w:t>3</w:t>
      </w:r>
      <w:r>
        <w:rPr>
          <w:rFonts w:hint="eastAsia" w:ascii="宋体" w:hAnsi="宋体"/>
          <w:color w:val="auto"/>
          <w:szCs w:val="21"/>
          <w:highlight w:val="none"/>
        </w:rPr>
        <w:t>.法定代表人资格证明书（原件）、</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14:paraId="7DACB205">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4</w:t>
      </w:r>
      <w:r>
        <w:rPr>
          <w:rFonts w:hint="eastAsia" w:ascii="宋体" w:hAnsi="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2026年3月至2026年5月中任意一个月</w:t>
      </w:r>
      <w:r>
        <w:rPr>
          <w:rFonts w:hint="eastAsia" w:ascii="宋体" w:hAnsi="宋体" w:cs="宋体"/>
          <w:color w:val="auto"/>
          <w:szCs w:val="21"/>
          <w:highlight w:val="none"/>
        </w:rPr>
        <w:t>供应商为其缴纳的社保证明</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r>
        <w:rPr>
          <w:rFonts w:hint="eastAsia" w:ascii="宋体" w:hAnsi="宋体" w:cs="宋体"/>
          <w:color w:val="auto"/>
          <w:szCs w:val="21"/>
          <w:highlight w:val="none"/>
        </w:rPr>
        <w:t>（如果有授权委托情况的，必须提供）</w:t>
      </w:r>
    </w:p>
    <w:p w14:paraId="03E80FEB">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14:paraId="39B91CA6">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14:paraId="438AA21C">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14:paraId="2F484D65">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14:paraId="77DC90F1">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14:paraId="327D9278">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14:paraId="2E08E82C">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.服务方案</w:t>
      </w:r>
    </w:p>
    <w:p w14:paraId="082E4CF6">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3</w:t>
      </w:r>
      <w:r>
        <w:rPr>
          <w:rFonts w:hint="eastAsia" w:ascii="宋体" w:hAnsi="宋体" w:cs="宋体"/>
          <w:color w:val="auto"/>
          <w:szCs w:val="21"/>
          <w:highlight w:val="none"/>
        </w:rPr>
        <w:t>.服务承诺</w:t>
      </w:r>
    </w:p>
    <w:p w14:paraId="0DA39978">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4</w:t>
      </w:r>
      <w:r>
        <w:rPr>
          <w:rFonts w:hint="eastAsia" w:ascii="宋体" w:hAnsi="宋体" w:cs="宋体"/>
          <w:color w:val="auto"/>
          <w:szCs w:val="21"/>
          <w:highlight w:val="none"/>
        </w:rPr>
        <w:t>.偏离表</w:t>
      </w:r>
    </w:p>
    <w:p w14:paraId="66189CF1">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14:paraId="71BB1EF7">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14:paraId="66DD6968">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w:t>
      </w:r>
      <w:r>
        <w:rPr>
          <w:rFonts w:hint="eastAsia" w:ascii="宋体" w:hAnsi="宋体" w:cs="宋体"/>
          <w:color w:val="auto"/>
          <w:szCs w:val="21"/>
          <w:highlight w:val="none"/>
          <w:lang w:eastAsia="zh-CN"/>
        </w:rPr>
        <w:t>★</w:t>
      </w:r>
      <w:r>
        <w:rPr>
          <w:rFonts w:hint="eastAsia" w:ascii="宋体" w:hAnsi="宋体" w:cs="宋体"/>
          <w:color w:val="auto"/>
          <w:szCs w:val="21"/>
          <w:highlight w:val="none"/>
        </w:rPr>
        <w:t>”条款供应商必须在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w:t>
      </w:r>
      <w:r>
        <w:rPr>
          <w:rFonts w:hint="eastAsia" w:ascii="宋体" w:hAnsi="宋体"/>
          <w:b/>
          <w:bCs/>
          <w:color w:val="auto"/>
          <w:szCs w:val="21"/>
          <w:highlight w:val="none"/>
          <w:lang w:val="en-US" w:eastAsia="zh-CN"/>
        </w:rPr>
        <w:t>时间</w:t>
      </w:r>
      <w:r>
        <w:rPr>
          <w:rFonts w:hint="eastAsia" w:ascii="宋体" w:hAnsi="宋体"/>
          <w:b/>
          <w:bCs/>
          <w:color w:val="auto"/>
          <w:szCs w:val="21"/>
          <w:highlight w:val="none"/>
        </w:rPr>
        <w:t>后补正。</w:t>
      </w:r>
    </w:p>
    <w:p w14:paraId="702B1830">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14:paraId="6B125960">
      <w:pPr>
        <w:spacing w:line="360" w:lineRule="exact"/>
        <w:ind w:firstLine="424" w:firstLineChars="201"/>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.供应商需按</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响应文件的组成要求进行编制。</w:t>
      </w:r>
    </w:p>
    <w:p w14:paraId="2DE51086">
      <w:pPr>
        <w:jc w:val="center"/>
        <w:rPr>
          <w:rFonts w:ascii="宋体" w:hAnsi="宋体" w:cs="宋体"/>
          <w:b/>
          <w:color w:val="auto"/>
          <w:sz w:val="30"/>
          <w:szCs w:val="30"/>
          <w:highlight w:val="none"/>
        </w:rPr>
      </w:pPr>
    </w:p>
    <w:p w14:paraId="6B9A125A">
      <w:pPr>
        <w:jc w:val="center"/>
        <w:rPr>
          <w:rFonts w:ascii="宋体" w:hAnsi="宋体" w:cs="宋体"/>
          <w:b/>
          <w:color w:val="auto"/>
          <w:sz w:val="30"/>
          <w:szCs w:val="30"/>
          <w:highlight w:val="none"/>
        </w:rPr>
      </w:pPr>
    </w:p>
    <w:p w14:paraId="2088DACE">
      <w:pPr>
        <w:jc w:val="center"/>
        <w:rPr>
          <w:rFonts w:ascii="宋体" w:hAnsi="宋体" w:cs="宋体"/>
          <w:b/>
          <w:color w:val="auto"/>
          <w:sz w:val="30"/>
          <w:szCs w:val="30"/>
          <w:highlight w:val="none"/>
        </w:rPr>
      </w:pPr>
    </w:p>
    <w:p w14:paraId="64F91E31">
      <w:pPr>
        <w:jc w:val="center"/>
        <w:rPr>
          <w:rFonts w:ascii="宋体" w:hAnsi="宋体" w:cs="宋体"/>
          <w:b/>
          <w:color w:val="auto"/>
          <w:sz w:val="30"/>
          <w:szCs w:val="30"/>
          <w:highlight w:val="none"/>
        </w:rPr>
      </w:pPr>
    </w:p>
    <w:p w14:paraId="27D4CA91">
      <w:pPr>
        <w:jc w:val="center"/>
        <w:rPr>
          <w:rFonts w:ascii="宋体" w:hAnsi="宋体" w:cs="宋体"/>
          <w:b/>
          <w:color w:val="auto"/>
          <w:sz w:val="30"/>
          <w:szCs w:val="30"/>
          <w:highlight w:val="none"/>
        </w:rPr>
      </w:pPr>
    </w:p>
    <w:p w14:paraId="51945386">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14:paraId="3143EB58">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14:paraId="7D5F81EA">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常州市滑稽剧团《万象归春》灯光租赁项目</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eastAsia="zh-CN"/>
        </w:rPr>
        <w:t>滑稽戏《万象归春》入选省舞台艺术精品创作扶持工程，需要4场演出。演出过程中，为了更好的舞台表现，需要租赁一批灯光</w:t>
      </w:r>
      <w:r>
        <w:rPr>
          <w:rFonts w:hint="eastAsia" w:asciiTheme="minorEastAsia" w:hAnsiTheme="minorEastAsia" w:eastAsiaTheme="minorEastAsia" w:cstheme="minorEastAsia"/>
          <w:color w:val="auto"/>
          <w:spacing w:val="2"/>
          <w:szCs w:val="21"/>
          <w:highlight w:val="none"/>
          <w:u w:val="none"/>
        </w:rPr>
        <w:t>。</w:t>
      </w:r>
    </w:p>
    <w:p w14:paraId="4806C60E">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二、设备清单</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0"/>
        <w:gridCol w:w="2196"/>
        <w:gridCol w:w="1819"/>
        <w:gridCol w:w="756"/>
        <w:gridCol w:w="1079"/>
        <w:gridCol w:w="1919"/>
      </w:tblGrid>
      <w:tr w14:paraId="7674E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18E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4566">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084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型号</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8C61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FAD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总天数</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8D3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2F098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BE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93E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18"/>
                <w:color w:val="auto"/>
                <w:highlight w:val="none"/>
                <w:lang w:val="en-US" w:eastAsia="zh-CN" w:bidi="ar"/>
              </w:rPr>
              <w:t>ACME电脑切割灯</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BF9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AECO20</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D3D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68台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4B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46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备用2台</w:t>
            </w:r>
          </w:p>
        </w:tc>
      </w:tr>
      <w:tr w14:paraId="672D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D3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760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GTD三合一电脑灯</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66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GTD380</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040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18"/>
                <w:color w:val="auto"/>
                <w:highlight w:val="none"/>
                <w:lang w:val="en-US" w:eastAsia="zh-CN" w:bidi="ar"/>
              </w:rPr>
              <w:t>10台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784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E12F">
            <w:pPr>
              <w:jc w:val="center"/>
              <w:rPr>
                <w:rFonts w:hint="eastAsia" w:ascii="宋体" w:hAnsi="宋体" w:eastAsia="宋体" w:cs="宋体"/>
                <w:i w:val="0"/>
                <w:iCs w:val="0"/>
                <w:color w:val="auto"/>
                <w:sz w:val="24"/>
                <w:szCs w:val="24"/>
                <w:highlight w:val="none"/>
                <w:u w:val="none"/>
              </w:rPr>
            </w:pPr>
          </w:p>
        </w:tc>
      </w:tr>
      <w:tr w14:paraId="2087F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BC1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77B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18"/>
                <w:color w:val="auto"/>
                <w:highlight w:val="none"/>
                <w:lang w:val="en-US" w:eastAsia="zh-CN" w:bidi="ar"/>
              </w:rPr>
              <w:t>MA NPU</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0ED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韵鹏</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43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52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D219">
            <w:pPr>
              <w:jc w:val="center"/>
              <w:rPr>
                <w:rFonts w:hint="eastAsia" w:ascii="宋体" w:hAnsi="宋体" w:eastAsia="宋体" w:cs="宋体"/>
                <w:i w:val="0"/>
                <w:iCs w:val="0"/>
                <w:color w:val="auto"/>
                <w:sz w:val="24"/>
                <w:szCs w:val="24"/>
                <w:highlight w:val="none"/>
                <w:u w:val="none"/>
              </w:rPr>
            </w:pPr>
          </w:p>
        </w:tc>
      </w:tr>
      <w:tr w14:paraId="511D6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9B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E13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MA2调光台</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F08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韵鹏</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3B7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E6E3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38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备用</w:t>
            </w:r>
          </w:p>
        </w:tc>
      </w:tr>
      <w:tr w14:paraId="29D94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95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00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TURSS</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62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霄翰40X60</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5AE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18米</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722B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B809">
            <w:pPr>
              <w:jc w:val="center"/>
              <w:rPr>
                <w:rFonts w:hint="eastAsia" w:ascii="宋体" w:hAnsi="宋体" w:eastAsia="宋体" w:cs="宋体"/>
                <w:i w:val="0"/>
                <w:iCs w:val="0"/>
                <w:color w:val="auto"/>
                <w:sz w:val="24"/>
                <w:szCs w:val="24"/>
                <w:highlight w:val="none"/>
                <w:u w:val="none"/>
              </w:rPr>
            </w:pPr>
          </w:p>
        </w:tc>
      </w:tr>
      <w:tr w14:paraId="7A19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D1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53D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turss葫芦电动</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F6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牧德</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A8D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D6E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731F">
            <w:pPr>
              <w:jc w:val="center"/>
              <w:rPr>
                <w:rFonts w:hint="eastAsia" w:ascii="宋体" w:hAnsi="宋体" w:eastAsia="宋体" w:cs="宋体"/>
                <w:i w:val="0"/>
                <w:iCs w:val="0"/>
                <w:color w:val="auto"/>
                <w:sz w:val="24"/>
                <w:szCs w:val="24"/>
                <w:highlight w:val="none"/>
                <w:u w:val="none"/>
              </w:rPr>
            </w:pPr>
          </w:p>
        </w:tc>
      </w:tr>
      <w:tr w14:paraId="267C2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A3B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995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turss控制器</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797A">
            <w:pPr>
              <w:jc w:val="center"/>
              <w:rPr>
                <w:rFonts w:hint="eastAsia" w:ascii="宋体" w:hAnsi="宋体" w:eastAsia="宋体" w:cs="宋体"/>
                <w:i w:val="0"/>
                <w:iCs w:val="0"/>
                <w:color w:val="auto"/>
                <w:sz w:val="24"/>
                <w:szCs w:val="24"/>
                <w:highlight w:val="none"/>
                <w:u w:val="none"/>
              </w:rPr>
            </w:pP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68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63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6917">
            <w:pPr>
              <w:jc w:val="center"/>
              <w:rPr>
                <w:rFonts w:hint="eastAsia" w:ascii="宋体" w:hAnsi="宋体" w:eastAsia="宋体" w:cs="宋体"/>
                <w:i w:val="0"/>
                <w:iCs w:val="0"/>
                <w:color w:val="auto"/>
                <w:sz w:val="24"/>
                <w:szCs w:val="24"/>
                <w:highlight w:val="none"/>
                <w:u w:val="none"/>
              </w:rPr>
            </w:pPr>
          </w:p>
        </w:tc>
      </w:tr>
      <w:tr w14:paraId="01C2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7C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4B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36路电源柜电源线</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851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Typ-cc</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536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1套</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958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E931">
            <w:pPr>
              <w:jc w:val="center"/>
              <w:rPr>
                <w:rFonts w:hint="eastAsia" w:ascii="宋体" w:hAnsi="宋体" w:eastAsia="宋体" w:cs="宋体"/>
                <w:i w:val="0"/>
                <w:iCs w:val="0"/>
                <w:color w:val="auto"/>
                <w:sz w:val="24"/>
                <w:szCs w:val="24"/>
                <w:highlight w:val="none"/>
                <w:u w:val="none"/>
              </w:rPr>
            </w:pPr>
          </w:p>
        </w:tc>
      </w:tr>
      <w:tr w14:paraId="5623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49A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4F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灯具电缆信号缆</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E828">
            <w:pPr>
              <w:jc w:val="center"/>
              <w:rPr>
                <w:rFonts w:hint="eastAsia" w:ascii="宋体" w:hAnsi="宋体" w:eastAsia="宋体" w:cs="宋体"/>
                <w:i w:val="0"/>
                <w:iCs w:val="0"/>
                <w:color w:val="auto"/>
                <w:sz w:val="24"/>
                <w:szCs w:val="24"/>
                <w:highlight w:val="none"/>
                <w:u w:val="none"/>
              </w:rPr>
            </w:pP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DF4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1套</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E35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522F">
            <w:pPr>
              <w:jc w:val="center"/>
              <w:rPr>
                <w:rFonts w:hint="eastAsia" w:ascii="宋体" w:hAnsi="宋体" w:eastAsia="宋体" w:cs="宋体"/>
                <w:i w:val="0"/>
                <w:iCs w:val="0"/>
                <w:color w:val="auto"/>
                <w:sz w:val="24"/>
                <w:szCs w:val="24"/>
                <w:highlight w:val="none"/>
                <w:u w:val="none"/>
              </w:rPr>
            </w:pPr>
          </w:p>
        </w:tc>
      </w:tr>
      <w:tr w14:paraId="2FB6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686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404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雾机</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3A3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安特利</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94C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5B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4E18">
            <w:pPr>
              <w:jc w:val="center"/>
              <w:rPr>
                <w:rFonts w:hint="eastAsia" w:ascii="宋体" w:hAnsi="宋体" w:eastAsia="宋体" w:cs="宋体"/>
                <w:i w:val="0"/>
                <w:iCs w:val="0"/>
                <w:color w:val="auto"/>
                <w:sz w:val="24"/>
                <w:szCs w:val="24"/>
                <w:highlight w:val="none"/>
                <w:u w:val="none"/>
              </w:rPr>
            </w:pPr>
          </w:p>
        </w:tc>
      </w:tr>
      <w:tr w14:paraId="13EFC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25D7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18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信号分配器</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E2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18"/>
                <w:color w:val="auto"/>
                <w:highlight w:val="none"/>
                <w:lang w:val="en-US" w:eastAsia="zh-CN" w:bidi="ar"/>
              </w:rPr>
              <w:t>GTD</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13E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18"/>
                <w:color w:val="auto"/>
                <w:highlight w:val="none"/>
                <w:lang w:val="en-US" w:eastAsia="zh-CN" w:bidi="ar"/>
              </w:rPr>
              <w:t>10台</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45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7A8B">
            <w:pPr>
              <w:jc w:val="center"/>
              <w:rPr>
                <w:rFonts w:hint="eastAsia" w:ascii="宋体" w:hAnsi="宋体" w:eastAsia="宋体" w:cs="宋体"/>
                <w:i w:val="0"/>
                <w:iCs w:val="0"/>
                <w:color w:val="auto"/>
                <w:sz w:val="24"/>
                <w:szCs w:val="24"/>
                <w:highlight w:val="none"/>
                <w:u w:val="none"/>
              </w:rPr>
            </w:pPr>
          </w:p>
        </w:tc>
      </w:tr>
      <w:tr w14:paraId="000B7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7B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541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运输费</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07CE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Style w:val="18"/>
                <w:color w:val="auto"/>
                <w:highlight w:val="none"/>
                <w:lang w:val="en-US" w:eastAsia="zh-CN" w:bidi="ar"/>
              </w:rPr>
              <w:t>6.8米卡车</w:t>
            </w: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6A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1车</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5ACC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34E2">
            <w:pPr>
              <w:jc w:val="center"/>
              <w:rPr>
                <w:rFonts w:hint="eastAsia" w:ascii="宋体" w:hAnsi="宋体" w:eastAsia="宋体" w:cs="宋体"/>
                <w:i w:val="0"/>
                <w:iCs w:val="0"/>
                <w:color w:val="auto"/>
                <w:sz w:val="24"/>
                <w:szCs w:val="24"/>
                <w:highlight w:val="none"/>
                <w:u w:val="none"/>
              </w:rPr>
            </w:pPr>
          </w:p>
        </w:tc>
      </w:tr>
      <w:tr w14:paraId="58A1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16C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28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人员劳务费</w:t>
            </w:r>
          </w:p>
        </w:tc>
        <w:tc>
          <w:tcPr>
            <w:tcW w:w="11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CC8F">
            <w:pPr>
              <w:jc w:val="center"/>
              <w:rPr>
                <w:rFonts w:hint="eastAsia" w:ascii="宋体" w:hAnsi="宋体" w:eastAsia="宋体" w:cs="宋体"/>
                <w:i w:val="0"/>
                <w:iCs w:val="0"/>
                <w:color w:val="auto"/>
                <w:sz w:val="24"/>
                <w:szCs w:val="24"/>
                <w:highlight w:val="none"/>
                <w:u w:val="none"/>
              </w:rPr>
            </w:pPr>
          </w:p>
        </w:tc>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FE9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6人</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6D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F1A7C">
            <w:pPr>
              <w:jc w:val="center"/>
              <w:rPr>
                <w:rFonts w:hint="eastAsia" w:ascii="宋体" w:hAnsi="宋体" w:eastAsia="宋体" w:cs="宋体"/>
                <w:i w:val="0"/>
                <w:iCs w:val="0"/>
                <w:color w:val="auto"/>
                <w:sz w:val="24"/>
                <w:szCs w:val="24"/>
                <w:highlight w:val="none"/>
                <w:u w:val="none"/>
              </w:rPr>
            </w:pPr>
          </w:p>
        </w:tc>
      </w:tr>
    </w:tbl>
    <w:p w14:paraId="54F339DF">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三、服务要求</w:t>
      </w:r>
    </w:p>
    <w:p w14:paraId="2D097C94">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b w:val="0"/>
          <w:bCs w:val="0"/>
          <w:color w:val="auto"/>
          <w:spacing w:val="2"/>
          <w:szCs w:val="21"/>
          <w:highlight w:val="none"/>
          <w:u w:val="none"/>
          <w:lang w:val="en-US" w:eastAsia="zh-CN"/>
        </w:rPr>
        <w:t>1.成交供应商现场服务人员应服从采购人协调及安排并提供完整舞台服务。</w:t>
      </w:r>
    </w:p>
    <w:p w14:paraId="6DB745E6">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b w:val="0"/>
          <w:bCs w:val="0"/>
          <w:color w:val="auto"/>
          <w:spacing w:val="2"/>
          <w:szCs w:val="21"/>
          <w:highlight w:val="none"/>
          <w:u w:val="none"/>
          <w:lang w:val="en-US" w:eastAsia="zh-CN"/>
        </w:rPr>
        <w:t>2.为保证现场设备正常使用，达到最佳视听的理想效果，成交供应商需安排专业人员。</w:t>
      </w:r>
    </w:p>
    <w:p w14:paraId="2EFD5AFE">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b w:val="0"/>
          <w:bCs w:val="0"/>
          <w:color w:val="auto"/>
          <w:spacing w:val="2"/>
          <w:szCs w:val="21"/>
          <w:highlight w:val="none"/>
          <w:u w:val="none"/>
          <w:lang w:val="en-US" w:eastAsia="zh-CN"/>
        </w:rPr>
        <w:t>3.成交供应商在设备安装前需与采购人确认实施方案，并根据场地情况提供给采购人专业建议和意见，若成交供应商在活动开展前未提前告知，导致活动中造成的安全事故、场地损坏等问题均由成交供应商承担相关责任和经济损失。</w:t>
      </w:r>
    </w:p>
    <w:p w14:paraId="05CBDF40">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b w:val="0"/>
          <w:bCs w:val="0"/>
          <w:color w:val="auto"/>
          <w:spacing w:val="2"/>
          <w:szCs w:val="21"/>
          <w:highlight w:val="none"/>
          <w:u w:val="none"/>
          <w:lang w:val="en-US" w:eastAsia="zh-CN"/>
        </w:rPr>
        <w:t>4.在活动开展期间，成交供应商应做好突发性事故处理预案，及时配合采购人处理关于现场设备故障、灯光效果及其他问题。</w:t>
      </w:r>
    </w:p>
    <w:p w14:paraId="40429AC1">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四、验收标准</w:t>
      </w:r>
    </w:p>
    <w:p w14:paraId="25263200">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b w:val="0"/>
          <w:bCs w:val="0"/>
          <w:color w:val="auto"/>
          <w:spacing w:val="2"/>
          <w:szCs w:val="21"/>
          <w:highlight w:val="none"/>
          <w:u w:val="none"/>
          <w:lang w:val="en-US" w:eastAsia="zh-CN"/>
        </w:rPr>
        <w:t>按照项目合同约定根据现场安装及使用实际验收。</w:t>
      </w:r>
    </w:p>
    <w:p w14:paraId="51D244B8">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五</w:t>
      </w:r>
      <w:r>
        <w:rPr>
          <w:rFonts w:hint="eastAsia" w:asciiTheme="minorEastAsia" w:hAnsiTheme="minorEastAsia" w:eastAsiaTheme="minorEastAsia" w:cstheme="minorEastAsia"/>
          <w:b/>
          <w:color w:val="auto"/>
          <w:szCs w:val="21"/>
          <w:highlight w:val="none"/>
          <w:u w:val="none"/>
        </w:rPr>
        <w:t>、报价方式</w:t>
      </w:r>
    </w:p>
    <w:p w14:paraId="38E82922">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w:t>
      </w:r>
      <w:r>
        <w:rPr>
          <w:rFonts w:hint="eastAsia" w:asciiTheme="minorEastAsia" w:hAnsiTheme="minorEastAsia" w:eastAsiaTheme="minorEastAsia" w:cstheme="minorEastAsia"/>
          <w:b/>
          <w:bCs/>
          <w:color w:val="auto"/>
          <w:szCs w:val="21"/>
          <w:highlight w:val="none"/>
          <w:u w:val="none"/>
          <w:lang w:val="en-US" w:eastAsia="zh-CN"/>
        </w:rPr>
        <w:t>单</w:t>
      </w:r>
      <w:r>
        <w:rPr>
          <w:rFonts w:hint="eastAsia" w:asciiTheme="minorEastAsia" w:hAnsiTheme="minorEastAsia" w:eastAsiaTheme="minorEastAsia" w:cstheme="minorEastAsia"/>
          <w:b/>
          <w:bCs/>
          <w:color w:val="auto"/>
          <w:szCs w:val="21"/>
          <w:highlight w:val="none"/>
          <w:u w:val="none"/>
        </w:rPr>
        <w:t>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lang w:val="en-US" w:eastAsia="zh-CN"/>
        </w:rPr>
        <w:t>报</w:t>
      </w:r>
      <w:r>
        <w:rPr>
          <w:rFonts w:hint="eastAsia" w:asciiTheme="minorEastAsia" w:hAnsiTheme="minorEastAsia" w:eastAsiaTheme="minorEastAsia" w:cstheme="minorEastAsia"/>
          <w:color w:val="auto"/>
          <w:szCs w:val="21"/>
          <w:highlight w:val="none"/>
          <w:u w:val="none"/>
        </w:rPr>
        <w:t>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w:t>
      </w:r>
      <w:r>
        <w:rPr>
          <w:rFonts w:hint="eastAsia" w:asciiTheme="minorEastAsia" w:hAnsiTheme="minorEastAsia" w:eastAsiaTheme="minorEastAsia" w:cstheme="minorEastAsia"/>
          <w:color w:val="auto"/>
          <w:szCs w:val="21"/>
          <w:highlight w:val="none"/>
          <w:u w:val="none"/>
          <w:lang w:val="en-US" w:eastAsia="zh-CN"/>
        </w:rPr>
        <w:t>灯光设备租赁费、运输费、</w:t>
      </w:r>
      <w:r>
        <w:rPr>
          <w:rFonts w:hint="eastAsia" w:asciiTheme="minorEastAsia" w:hAnsiTheme="minorEastAsia" w:eastAsiaTheme="minorEastAsia" w:cstheme="minorEastAsia"/>
          <w:color w:val="auto"/>
          <w:szCs w:val="21"/>
          <w:highlight w:val="none"/>
          <w:u w:val="none"/>
        </w:rPr>
        <w:t>办公场所及设施、保险、劳保、管理、各种税费、利润、税金、政策性文件规定及合同包含的所有风险、责任等各项应有费用，以及为完成该项服务项目所涉及到的一切相关费用，采购人不再支付其他任何费用。</w:t>
      </w:r>
    </w:p>
    <w:p w14:paraId="4CE16581">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p>
    <w:p w14:paraId="24B231D8">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服务期限</w:t>
      </w:r>
    </w:p>
    <w:p w14:paraId="1F9ADD8B">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eastAsia="zh-CN"/>
        </w:rPr>
      </w:pPr>
      <w:r>
        <w:rPr>
          <w:rFonts w:hint="eastAsia" w:cs="宋体" w:asciiTheme="minorEastAsia" w:hAnsiTheme="minorEastAsia" w:eastAsiaTheme="minorEastAsia"/>
          <w:color w:val="auto"/>
          <w:szCs w:val="21"/>
          <w:highlight w:val="none"/>
          <w:lang w:eastAsia="zh-CN"/>
        </w:rPr>
        <w:t>12天（按实际使用天数计算）</w:t>
      </w:r>
      <w:r>
        <w:rPr>
          <w:rFonts w:hint="eastAsia" w:cs="宋体" w:asciiTheme="minorEastAsia" w:hAnsiTheme="minorEastAsia" w:eastAsiaTheme="minorEastAsia"/>
          <w:color w:val="auto"/>
          <w:szCs w:val="21"/>
          <w:highlight w:val="none"/>
        </w:rPr>
        <w:t>。</w:t>
      </w:r>
    </w:p>
    <w:p w14:paraId="12BDD622">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七</w:t>
      </w:r>
      <w:r>
        <w:rPr>
          <w:rFonts w:hint="eastAsia" w:asciiTheme="minorEastAsia" w:hAnsiTheme="minorEastAsia" w:eastAsiaTheme="minorEastAsia" w:cstheme="minorEastAsia"/>
          <w:b/>
          <w:color w:val="auto"/>
          <w:szCs w:val="21"/>
          <w:highlight w:val="none"/>
          <w:u w:val="none"/>
        </w:rPr>
        <w:t>、付款方式</w:t>
      </w:r>
    </w:p>
    <w:p w14:paraId="4EA387C1">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b w:val="0"/>
          <w:bCs w:val="0"/>
          <w:color w:val="auto"/>
          <w:spacing w:val="2"/>
          <w:szCs w:val="21"/>
          <w:highlight w:val="none"/>
          <w:u w:val="none"/>
          <w:lang w:val="en-US" w:eastAsia="zh-CN"/>
        </w:rPr>
        <w:t>合同履行结束后，采购人向成交供应商一次性付清。付款前成交供应商需提供等额增值税发票。</w:t>
      </w:r>
    </w:p>
    <w:p w14:paraId="38977556">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eastAsia="zh-CN"/>
        </w:rPr>
      </w:pPr>
      <w:r>
        <w:rPr>
          <w:rFonts w:hint="eastAsia" w:asciiTheme="minorEastAsia" w:hAnsiTheme="minorEastAsia" w:eastAsiaTheme="minorEastAsia" w:cstheme="minorEastAsia"/>
          <w:b/>
          <w:color w:val="auto"/>
          <w:szCs w:val="21"/>
          <w:highlight w:val="none"/>
          <w:u w:val="none"/>
          <w:lang w:val="en-US" w:eastAsia="zh-CN"/>
        </w:rPr>
        <w:t>八</w:t>
      </w:r>
      <w:r>
        <w:rPr>
          <w:rFonts w:hint="eastAsia" w:asciiTheme="minorEastAsia" w:hAnsiTheme="minorEastAsia" w:eastAsiaTheme="minorEastAsia" w:cstheme="minorEastAsia"/>
          <w:b/>
          <w:color w:val="auto"/>
          <w:szCs w:val="21"/>
          <w:highlight w:val="none"/>
          <w:u w:val="none"/>
          <w:lang w:eastAsia="zh-CN"/>
        </w:rPr>
        <w:t>、其他</w:t>
      </w:r>
    </w:p>
    <w:p w14:paraId="26ED4D0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本项目采购标的对应的中小企业划分标准所属行业：租赁和商务服务业。</w:t>
      </w:r>
    </w:p>
    <w:p w14:paraId="17B53A93">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14:paraId="06BB31F9">
      <w:pPr>
        <w:pStyle w:val="4"/>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14:paraId="5E865C9C">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14:paraId="1A1CDA73">
      <w:pPr>
        <w:pStyle w:val="6"/>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14:paraId="0A621AD3">
      <w:pPr>
        <w:pStyle w:val="6"/>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14:paraId="03D833D3">
      <w:pPr>
        <w:pStyle w:val="3"/>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14:paraId="2B7B7277">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14:paraId="0BAE8D8B">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14:paraId="6AC91C39">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14:paraId="6BB28633">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14:paraId="43D76063">
      <w:pPr>
        <w:pStyle w:val="6"/>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14:paraId="30BB1D48">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灯光设备租赁费、运输费、办公场所及设施、保险、劳保、管理、各种税费、利润、税金、政策性文件规定及合同包含的所有风险、责任等各项应有费用，以及为完成该项服务项目所涉及到的一切相关费用，</w:t>
      </w:r>
      <w:r>
        <w:rPr>
          <w:rFonts w:hint="eastAsia" w:cs="宋体" w:asciiTheme="minorEastAsia" w:hAnsiTheme="minorEastAsia"/>
          <w:color w:val="auto"/>
          <w:sz w:val="21"/>
          <w:szCs w:val="21"/>
          <w:highlight w:val="none"/>
          <w:lang w:val="en-US" w:eastAsia="zh-CN"/>
        </w:rPr>
        <w:t>甲方</w:t>
      </w:r>
      <w:r>
        <w:rPr>
          <w:rFonts w:hint="eastAsia" w:cs="宋体" w:asciiTheme="minorEastAsia" w:hAnsiTheme="minorEastAsia"/>
          <w:color w:val="auto"/>
          <w:sz w:val="21"/>
          <w:szCs w:val="21"/>
          <w:highlight w:val="none"/>
        </w:rPr>
        <w:t>不再支付其他任何费用。</w:t>
      </w:r>
    </w:p>
    <w:p w14:paraId="2131B383">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14:paraId="51297039">
      <w:pPr>
        <w:pStyle w:val="6"/>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14:paraId="1155B4B8">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14:paraId="47AC9FC6">
      <w:pPr>
        <w:pStyle w:val="6"/>
        <w:spacing w:line="360" w:lineRule="exact"/>
        <w:ind w:firstLine="424" w:firstLineChars="202"/>
        <w:rPr>
          <w:rFonts w:hint="eastAsia" w:cs="宋体" w:asciiTheme="minorEastAsia" w:hAnsiTheme="minorEastAsia" w:eastAsiaTheme="minorEastAsia"/>
          <w:color w:val="auto"/>
          <w:sz w:val="21"/>
          <w:szCs w:val="21"/>
          <w:highlight w:val="none"/>
          <w:lang w:eastAsia="zh-CN"/>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w:t>
      </w:r>
      <w:r>
        <w:rPr>
          <w:rFonts w:hint="eastAsia" w:cs="宋体" w:asciiTheme="minorEastAsia" w:hAnsiTheme="minorEastAsia"/>
          <w:color w:val="auto"/>
          <w:sz w:val="21"/>
          <w:szCs w:val="21"/>
          <w:highlight w:val="none"/>
          <w:lang w:eastAsia="zh-CN"/>
        </w:rPr>
        <w:t>SYZB-SJ-2026007</w:t>
      </w:r>
      <w:r>
        <w:rPr>
          <w:rFonts w:hint="eastAsia" w:cs="宋体" w:asciiTheme="minorEastAsia" w:hAnsiTheme="minorEastAsia"/>
          <w:color w:val="auto"/>
          <w:sz w:val="21"/>
          <w:szCs w:val="21"/>
          <w:highlight w:val="none"/>
        </w:rPr>
        <w:t>）</w:t>
      </w:r>
      <w:r>
        <w:rPr>
          <w:rFonts w:hint="eastAsia" w:cs="宋体" w:asciiTheme="minorEastAsia" w:hAnsiTheme="minorEastAsia"/>
          <w:color w:val="auto"/>
          <w:sz w:val="21"/>
          <w:szCs w:val="21"/>
          <w:highlight w:val="none"/>
          <w:lang w:eastAsia="zh-CN"/>
        </w:rPr>
        <w:t>；</w:t>
      </w:r>
    </w:p>
    <w:p w14:paraId="6A4732A9">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响应文件；</w:t>
      </w:r>
    </w:p>
    <w:p w14:paraId="7A246557">
      <w:pPr>
        <w:pStyle w:val="6"/>
        <w:spacing w:line="360" w:lineRule="exact"/>
        <w:ind w:firstLine="424" w:firstLineChars="202"/>
        <w:rPr>
          <w:rFonts w:hint="eastAsia"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）成交通知书；</w:t>
      </w:r>
    </w:p>
    <w:p w14:paraId="03706C8A">
      <w:pPr>
        <w:pStyle w:val="6"/>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14:paraId="3DEAC8BA">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14:paraId="01076C2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14:paraId="3999E052">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14:paraId="35148DAB">
      <w:pPr>
        <w:adjustRightInd w:val="0"/>
        <w:snapToGrid w:val="0"/>
        <w:spacing w:line="360" w:lineRule="exact"/>
        <w:ind w:firstLine="424" w:firstLineChars="202"/>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lang w:val="en-US" w:eastAsia="zh-CN"/>
        </w:rPr>
        <w:t>结算方式：固定单价，按实结算。</w:t>
      </w:r>
    </w:p>
    <w:p w14:paraId="1660FF21">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rPr>
        <w:t>付款方式：</w:t>
      </w:r>
      <w:r>
        <w:rPr>
          <w:rFonts w:hint="eastAsia" w:asciiTheme="minorEastAsia" w:hAnsiTheme="minorEastAsia" w:eastAsiaTheme="minorEastAsia" w:cstheme="minorEastAsia"/>
          <w:color w:val="auto"/>
          <w:spacing w:val="2"/>
          <w:szCs w:val="21"/>
          <w:highlight w:val="none"/>
          <w:u w:val="none"/>
        </w:rPr>
        <w:t>合同履行结束后，</w:t>
      </w:r>
      <w:r>
        <w:rPr>
          <w:rFonts w:hint="eastAsia" w:asciiTheme="minorEastAsia" w:hAnsiTheme="minorEastAsia" w:eastAsiaTheme="minorEastAsia" w:cstheme="minorEastAsia"/>
          <w:color w:val="auto"/>
          <w:spacing w:val="2"/>
          <w:szCs w:val="21"/>
          <w:highlight w:val="none"/>
          <w:u w:val="none"/>
          <w:lang w:val="en-US" w:eastAsia="zh-CN"/>
        </w:rPr>
        <w:t>甲方</w:t>
      </w:r>
      <w:r>
        <w:rPr>
          <w:rFonts w:hint="eastAsia" w:asciiTheme="minorEastAsia" w:hAnsiTheme="minorEastAsia" w:eastAsiaTheme="minorEastAsia" w:cstheme="minorEastAsia"/>
          <w:color w:val="auto"/>
          <w:spacing w:val="2"/>
          <w:szCs w:val="21"/>
          <w:highlight w:val="none"/>
          <w:u w:val="none"/>
        </w:rPr>
        <w:t>向</w:t>
      </w:r>
      <w:r>
        <w:rPr>
          <w:rFonts w:hint="eastAsia" w:asciiTheme="minorEastAsia" w:hAnsiTheme="minorEastAsia" w:eastAsiaTheme="minorEastAsia" w:cstheme="minorEastAsia"/>
          <w:color w:val="auto"/>
          <w:spacing w:val="2"/>
          <w:szCs w:val="21"/>
          <w:highlight w:val="none"/>
          <w:u w:val="none"/>
          <w:lang w:val="en-US" w:eastAsia="zh-CN"/>
        </w:rPr>
        <w:t>乙方</w:t>
      </w:r>
      <w:r>
        <w:rPr>
          <w:rFonts w:hint="eastAsia" w:asciiTheme="minorEastAsia" w:hAnsiTheme="minorEastAsia" w:eastAsiaTheme="minorEastAsia" w:cstheme="minorEastAsia"/>
          <w:color w:val="auto"/>
          <w:spacing w:val="2"/>
          <w:szCs w:val="21"/>
          <w:highlight w:val="none"/>
          <w:u w:val="none"/>
        </w:rPr>
        <w:t>一次性付清。付款前</w:t>
      </w:r>
      <w:r>
        <w:rPr>
          <w:rFonts w:hint="eastAsia" w:asciiTheme="minorEastAsia" w:hAnsiTheme="minorEastAsia" w:eastAsiaTheme="minorEastAsia" w:cstheme="minorEastAsia"/>
          <w:color w:val="auto"/>
          <w:spacing w:val="2"/>
          <w:szCs w:val="21"/>
          <w:highlight w:val="none"/>
          <w:u w:val="none"/>
          <w:lang w:val="en-US" w:eastAsia="zh-CN"/>
        </w:rPr>
        <w:t>乙方</w:t>
      </w:r>
      <w:r>
        <w:rPr>
          <w:rFonts w:hint="eastAsia" w:asciiTheme="minorEastAsia" w:hAnsiTheme="minorEastAsia" w:eastAsiaTheme="minorEastAsia" w:cstheme="minorEastAsia"/>
          <w:color w:val="auto"/>
          <w:spacing w:val="2"/>
          <w:szCs w:val="21"/>
          <w:highlight w:val="none"/>
          <w:u w:val="none"/>
        </w:rPr>
        <w:t>需提供等额增值税发票。</w:t>
      </w:r>
    </w:p>
    <w:p w14:paraId="0E007DEB">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14:paraId="14A88295">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14:paraId="67EBCAA5">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2</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14:paraId="3486EB8C">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5808C64E">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有</w:t>
      </w:r>
      <w:r>
        <w:rPr>
          <w:rFonts w:hint="eastAsia" w:asciiTheme="minorEastAsia" w:hAnsiTheme="minorEastAsia" w:eastAsiaTheme="minorEastAsia"/>
          <w:color w:val="auto"/>
          <w:highlight w:val="none"/>
        </w:rPr>
        <w:t>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14:paraId="0243EC53">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14:paraId="3C6C4036">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14:paraId="4976993A">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14:paraId="75D3796E">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14:paraId="7667706C">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14:paraId="19A8A1A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14:paraId="4D401355">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14:paraId="4946A529">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14:paraId="6F4DEFC2">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14:paraId="42A15906">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14:paraId="58825DCB">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14:paraId="0AA7968C">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14:paraId="4DF2445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14:paraId="7B37A3DB">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14:paraId="2954CF6A">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14:paraId="4B2BD05D">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14:paraId="39F02ECB">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w:t>
      </w:r>
      <w:r>
        <w:rPr>
          <w:rFonts w:hint="eastAsia" w:asciiTheme="minorEastAsia" w:hAnsiTheme="minorEastAsia" w:eastAsiaTheme="minorEastAsia"/>
          <w:b/>
          <w:color w:val="auto"/>
          <w:szCs w:val="21"/>
          <w:highlight w:val="none"/>
          <w:lang w:val="en-US" w:eastAsia="zh-CN"/>
        </w:rPr>
        <w:t xml:space="preserve"> </w:t>
      </w:r>
      <w:r>
        <w:rPr>
          <w:rFonts w:hint="eastAsia" w:asciiTheme="minorEastAsia" w:hAnsiTheme="minorEastAsia" w:eastAsiaTheme="minorEastAsia"/>
          <w:b/>
          <w:color w:val="auto"/>
          <w:szCs w:val="21"/>
          <w:highlight w:val="none"/>
        </w:rPr>
        <w:t>合同生效及其他</w:t>
      </w:r>
    </w:p>
    <w:p w14:paraId="4C67F42D">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18D27E55">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14:paraId="5177E571">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14:paraId="1FC82165">
      <w:pPr>
        <w:spacing w:line="400" w:lineRule="exact"/>
        <w:jc w:val="left"/>
        <w:rPr>
          <w:rFonts w:hint="eastAsia" w:ascii="宋体" w:hAnsi="宋体" w:cs="宋体"/>
          <w:b/>
          <w:bCs/>
          <w:color w:val="auto"/>
          <w:szCs w:val="21"/>
          <w:highlight w:val="none"/>
        </w:rPr>
      </w:pPr>
    </w:p>
    <w:p w14:paraId="3178F4B9">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4ABD43A1">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14:paraId="592EDB52">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14:paraId="496F580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法定代表人：       委托代理人：          法定代表人：     委托代理人：</w:t>
      </w:r>
    </w:p>
    <w:p w14:paraId="219F8F10">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126CC95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传真：                                   开户银行：        </w:t>
      </w:r>
      <w:r>
        <w:rPr>
          <w:rFonts w:hint="eastAsia" w:ascii="宋体" w:hAnsi="宋体" w:cs="宋体"/>
          <w:color w:val="auto"/>
          <w:szCs w:val="21"/>
          <w:highlight w:val="none"/>
          <w:lang w:eastAsia="zh-CN"/>
        </w:rPr>
        <w:t>账</w:t>
      </w:r>
      <w:r>
        <w:rPr>
          <w:rFonts w:hint="eastAsia" w:ascii="宋体" w:hAnsi="宋体" w:cs="宋体"/>
          <w:color w:val="auto"/>
          <w:szCs w:val="21"/>
          <w:highlight w:val="none"/>
        </w:rPr>
        <w:t>号：</w:t>
      </w:r>
    </w:p>
    <w:p w14:paraId="4221229F">
      <w:pPr>
        <w:spacing w:line="400" w:lineRule="exact"/>
        <w:rPr>
          <w:rFonts w:ascii="宋体" w:hAnsi="宋体" w:cs="宋体"/>
          <w:b/>
          <w:bCs/>
          <w:color w:val="auto"/>
          <w:szCs w:val="21"/>
          <w:highlight w:val="none"/>
        </w:rPr>
      </w:pPr>
    </w:p>
    <w:p w14:paraId="6FDA41AF">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7EF8A983">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14:paraId="13CEF6D6">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32131CF6">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14:paraId="1FACB5D1">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14:paraId="122E70FB">
      <w:pPr>
        <w:spacing w:line="360" w:lineRule="exact"/>
        <w:ind w:firstLine="411" w:firstLineChars="196"/>
        <w:rPr>
          <w:rFonts w:hint="eastAsia" w:ascii="宋体" w:hAnsi="宋体"/>
          <w:color w:val="auto"/>
          <w:szCs w:val="21"/>
          <w:highlight w:val="none"/>
        </w:rPr>
      </w:pPr>
    </w:p>
    <w:p w14:paraId="524D359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14:paraId="4966135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14:paraId="46B0AD6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20</w:t>
      </w:r>
      <w:r>
        <w:rPr>
          <w:rFonts w:hint="eastAsia" w:ascii="宋体" w:hAnsi="宋体"/>
          <w:color w:val="auto"/>
          <w:szCs w:val="21"/>
          <w:highlight w:val="none"/>
        </w:rPr>
        <w:t>%的扣除</w:t>
      </w:r>
      <w:r>
        <w:rPr>
          <w:rFonts w:hint="eastAsia" w:ascii="宋体" w:hAnsi="宋体"/>
          <w:color w:val="auto"/>
          <w:szCs w:val="21"/>
          <w:highlight w:val="none"/>
          <w:lang w:eastAsia="zh-CN"/>
        </w:rPr>
        <w:t>，</w:t>
      </w:r>
      <w:r>
        <w:rPr>
          <w:rFonts w:hint="eastAsia" w:ascii="宋体" w:hAnsi="宋体"/>
          <w:color w:val="auto"/>
          <w:szCs w:val="21"/>
          <w:highlight w:val="none"/>
        </w:rPr>
        <w:t>用扣除后的价格参与评审。属于残疾人福利性单位的视同小微企业，给予价格扣除。</w:t>
      </w:r>
    </w:p>
    <w:p w14:paraId="22B28F9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四、报价相同的，由采购人抽签决定成交供应商。</w:t>
      </w:r>
    </w:p>
    <w:p w14:paraId="66F367DD">
      <w:pPr>
        <w:spacing w:line="360" w:lineRule="exact"/>
        <w:ind w:firstLine="411" w:firstLineChars="196"/>
        <w:rPr>
          <w:rFonts w:hint="eastAsia" w:ascii="宋体" w:hAnsi="宋体"/>
          <w:color w:val="auto"/>
          <w:szCs w:val="21"/>
          <w:highlight w:val="none"/>
        </w:rPr>
      </w:pPr>
    </w:p>
    <w:p w14:paraId="4EA30C0D">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14:paraId="643927D7">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14:paraId="4FE3D172">
      <w:pPr>
        <w:pStyle w:val="15"/>
        <w:spacing w:line="360" w:lineRule="exact"/>
        <w:rPr>
          <w:rFonts w:hint="eastAsia" w:cs="宋体"/>
          <w:b/>
          <w:color w:val="auto"/>
          <w:sz w:val="28"/>
          <w:szCs w:val="28"/>
          <w:highlight w:val="none"/>
        </w:rPr>
      </w:pPr>
    </w:p>
    <w:p w14:paraId="1133B73A">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1D1BE570">
      <w:pPr>
        <w:spacing w:line="360" w:lineRule="auto"/>
        <w:rPr>
          <w:rFonts w:hint="eastAsia" w:ascii="宋体" w:hAnsi="宋体"/>
          <w:color w:val="auto"/>
          <w:szCs w:val="21"/>
          <w:highlight w:val="none"/>
        </w:rPr>
      </w:pPr>
      <w:r>
        <w:rPr>
          <w:rFonts w:hint="eastAsia" w:ascii="宋体" w:hAnsi="宋体"/>
          <w:color w:val="auto"/>
          <w:szCs w:val="21"/>
          <w:highlight w:val="none"/>
        </w:rPr>
        <w:t>尊敬的供应商及项目参与人：</w:t>
      </w:r>
    </w:p>
    <w:p w14:paraId="5210EC2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为营造公正的市场环境，确保谈判工作规范有序开展，特将有关事项告知如下：</w:t>
      </w:r>
    </w:p>
    <w:p w14:paraId="1AFEA07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一、欢迎供应商及项目参与人对代理机构工作人员进行监督。凡发现代理机构工作人员有以下情形的，均可以书面具名方式举报，请投送至本公司总经理室。</w:t>
      </w:r>
    </w:p>
    <w:p w14:paraId="10CD81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（一）接受供应商组织的宴请、旅游、娱乐等活动；</w:t>
      </w:r>
    </w:p>
    <w:p w14:paraId="236678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（二）与供应商或采购人恶意串通的；</w:t>
      </w:r>
    </w:p>
    <w:p w14:paraId="7ED683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4B7945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（四）违规向关联参与人或供应商透露谈判或评审信息的；</w:t>
      </w:r>
    </w:p>
    <w:p w14:paraId="56D62D0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（五）其他违纪违规行为。</w:t>
      </w:r>
    </w:p>
    <w:p w14:paraId="74A3680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二、供应商及项目参与人应当遵守采购活动工作规则，有下列情形之一的，将被列入不良行为纪录，建议有关行政监督部门禁止其一至三年内参与采购代理机构组织的一切项目，并在相关媒体网站予以公布：</w:t>
      </w:r>
    </w:p>
    <w:p w14:paraId="7888E8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（一）在采购活动实施过程中，有吵闹、起哄、斗殴等行为，扰乱谈判现场或评审现场秩序的，以及在答疑、领取竞争性谈判文件、办理相关手续过程中扰乱正常办公秩序的；</w:t>
      </w:r>
    </w:p>
    <w:p w14:paraId="5CF5E2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（二）采取不正当手段诋毁、排挤其他供应商的；</w:t>
      </w:r>
    </w:p>
    <w:p w14:paraId="179E25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（三）提供虚假材料谋取成交的；</w:t>
      </w:r>
    </w:p>
    <w:p w14:paraId="56B7B8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（四）向采购人、采购代理机构工作人员行贿或提供其他不正当利益的；</w:t>
      </w:r>
    </w:p>
    <w:p w14:paraId="10B0C92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（五）未按规定程序进行质疑、投诉，影响项目正常进行的。</w:t>
      </w:r>
    </w:p>
    <w:p w14:paraId="09C6AF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监督办公室：江苏尚阳工程管理有限公司总经理室</w:t>
      </w:r>
    </w:p>
    <w:p w14:paraId="6D4BA5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投诉监督电话：0519-88818225</w:t>
      </w:r>
    </w:p>
    <w:p w14:paraId="4B5F5A90">
      <w:pPr>
        <w:pStyle w:val="15"/>
        <w:spacing w:line="360" w:lineRule="exact"/>
        <w:rPr>
          <w:rFonts w:hint="eastAsia" w:cs="宋体"/>
          <w:b/>
          <w:color w:val="auto"/>
          <w:sz w:val="28"/>
          <w:szCs w:val="28"/>
          <w:highlight w:val="none"/>
        </w:rPr>
      </w:pPr>
    </w:p>
    <w:p w14:paraId="17E2C5DD">
      <w:pPr>
        <w:pStyle w:val="9"/>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14:paraId="12A9C7E7">
      <w:pPr>
        <w:pStyle w:val="15"/>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14:paraId="0A81BE08">
      <w:pPr>
        <w:pStyle w:val="9"/>
        <w:rPr>
          <w:rFonts w:ascii="宋体" w:hAnsi="宋体" w:cs="宋体"/>
          <w:color w:val="auto"/>
          <w:highlight w:val="none"/>
        </w:rPr>
      </w:pPr>
    </w:p>
    <w:p w14:paraId="1DEF7968">
      <w:pPr>
        <w:pStyle w:val="15"/>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14:paraId="53CAAFFD">
      <w:pPr>
        <w:pStyle w:val="15"/>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江苏常州市滑稽剧团、</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14:paraId="1F92915B">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14:paraId="6ED9A8A3">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14:paraId="77FB7859">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2FCD97E4">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val="en-US"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14:paraId="617129F3">
      <w:pPr>
        <w:pStyle w:val="1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灯光设备租赁费、运输费、办公场所及设施、保险、劳保、管理、各种税费、利润、税金、政策性文件规定及合同包含的所有风险、责任等各项应有费用，以及为完成该项服务项目所涉及到的一切相关费用，采购人不再支付其他任何费用。</w:t>
      </w:r>
    </w:p>
    <w:p w14:paraId="67B4E46D">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14:paraId="7F4A97E5">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14:paraId="483AE0AA">
      <w:pPr>
        <w:pStyle w:val="1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14:paraId="2F6AA58A">
      <w:pPr>
        <w:pStyle w:val="15"/>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14:paraId="24D90E31">
      <w:pPr>
        <w:pStyle w:val="15"/>
        <w:spacing w:line="360" w:lineRule="exact"/>
        <w:jc w:val="left"/>
        <w:rPr>
          <w:rFonts w:cs="宋体"/>
          <w:color w:val="auto"/>
          <w:sz w:val="21"/>
          <w:szCs w:val="21"/>
          <w:highlight w:val="none"/>
        </w:rPr>
      </w:pPr>
    </w:p>
    <w:p w14:paraId="400605A4">
      <w:pPr>
        <w:pStyle w:val="15"/>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7E9B1E08">
      <w:pPr>
        <w:pStyle w:val="15"/>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735DD817">
      <w:pPr>
        <w:pStyle w:val="15"/>
        <w:spacing w:line="360" w:lineRule="exact"/>
        <w:rPr>
          <w:rFonts w:cs="宋体"/>
          <w:color w:val="auto"/>
          <w:sz w:val="21"/>
          <w:szCs w:val="21"/>
          <w:highlight w:val="none"/>
        </w:rPr>
      </w:pPr>
      <w:r>
        <w:rPr>
          <w:rFonts w:hint="eastAsia" w:cs="宋体"/>
          <w:color w:val="auto"/>
          <w:sz w:val="21"/>
          <w:szCs w:val="21"/>
          <w:highlight w:val="none"/>
        </w:rPr>
        <w:t xml:space="preserve">传   真：                  </w:t>
      </w:r>
    </w:p>
    <w:p w14:paraId="235C7F33">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7C69DD34">
      <w:pPr>
        <w:pStyle w:val="15"/>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3ED76854">
      <w:pPr>
        <w:pStyle w:val="15"/>
        <w:spacing w:line="360" w:lineRule="exact"/>
        <w:rPr>
          <w:rFonts w:cs="宋体"/>
          <w:color w:val="auto"/>
          <w:sz w:val="21"/>
          <w:szCs w:val="21"/>
          <w:highlight w:val="none"/>
        </w:rPr>
      </w:pPr>
      <w:r>
        <w:rPr>
          <w:rFonts w:hint="eastAsia" w:cs="宋体"/>
          <w:color w:val="auto"/>
          <w:sz w:val="21"/>
          <w:szCs w:val="21"/>
          <w:highlight w:val="none"/>
        </w:rPr>
        <w:t>日    期：     年    月    日</w:t>
      </w:r>
    </w:p>
    <w:p w14:paraId="0EB6D1C3">
      <w:pPr>
        <w:pStyle w:val="9"/>
        <w:rPr>
          <w:color w:val="auto"/>
          <w:highlight w:val="none"/>
        </w:rPr>
      </w:pPr>
    </w:p>
    <w:p w14:paraId="0EAAD178">
      <w:pPr>
        <w:rPr>
          <w:color w:val="auto"/>
          <w:highlight w:val="none"/>
        </w:rPr>
      </w:pPr>
    </w:p>
    <w:p w14:paraId="0F0890C9">
      <w:pPr>
        <w:pStyle w:val="15"/>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51435E5A">
      <w:pPr>
        <w:pStyle w:val="15"/>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14:paraId="4A061CAD">
      <w:pPr>
        <w:rPr>
          <w:color w:val="auto"/>
          <w:highlight w:val="none"/>
        </w:rPr>
      </w:pPr>
    </w:p>
    <w:p w14:paraId="28561C8B">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7B328244">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7608BC0B">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7D50B86E">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3B303B30">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14:paraId="7112EF85">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6D990178">
      <w:pPr>
        <w:spacing w:line="360" w:lineRule="auto"/>
        <w:rPr>
          <w:rFonts w:ascii="宋体" w:hAnsi="宋体"/>
          <w:color w:val="auto"/>
          <w:szCs w:val="21"/>
          <w:highlight w:val="none"/>
        </w:rPr>
      </w:pPr>
    </w:p>
    <w:p w14:paraId="3DBB3D7C">
      <w:pPr>
        <w:spacing w:line="360" w:lineRule="auto"/>
        <w:rPr>
          <w:rFonts w:ascii="宋体" w:hAnsi="宋体"/>
          <w:color w:val="auto"/>
          <w:szCs w:val="21"/>
          <w:highlight w:val="none"/>
        </w:rPr>
      </w:pPr>
    </w:p>
    <w:p w14:paraId="3AC5D959">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09D6DC4B">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1ADF15B4">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2D99CED5">
      <w:pPr>
        <w:tabs>
          <w:tab w:val="left" w:pos="6045"/>
        </w:tabs>
        <w:snapToGrid w:val="0"/>
        <w:spacing w:line="360" w:lineRule="auto"/>
        <w:ind w:left="210" w:hanging="210" w:hangingChars="100"/>
        <w:rPr>
          <w:rFonts w:ascii="宋体" w:hAnsi="宋体"/>
          <w:color w:val="auto"/>
          <w:szCs w:val="21"/>
          <w:highlight w:val="none"/>
        </w:rPr>
      </w:pPr>
    </w:p>
    <w:p w14:paraId="0535EC54">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4F82E27B">
      <w:pPr>
        <w:snapToGrid w:val="0"/>
        <w:spacing w:line="360" w:lineRule="auto"/>
        <w:rPr>
          <w:rFonts w:ascii="宋体" w:hAnsi="宋体"/>
          <w:color w:val="auto"/>
          <w:szCs w:val="21"/>
          <w:highlight w:val="none"/>
        </w:rPr>
      </w:pPr>
    </w:p>
    <w:p w14:paraId="28C7F407">
      <w:pPr>
        <w:snapToGrid w:val="0"/>
        <w:spacing w:line="360" w:lineRule="auto"/>
        <w:rPr>
          <w:rFonts w:ascii="宋体" w:hAnsi="宋体"/>
          <w:b/>
          <w:color w:val="auto"/>
          <w:szCs w:val="21"/>
          <w:highlight w:val="none"/>
        </w:rPr>
      </w:pPr>
    </w:p>
    <w:p w14:paraId="58F79F0A">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10FBF413">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1812CE38">
      <w:pPr>
        <w:snapToGrid w:val="0"/>
        <w:spacing w:line="360" w:lineRule="auto"/>
        <w:rPr>
          <w:rFonts w:ascii="宋体" w:hAnsi="宋体"/>
          <w:b/>
          <w:color w:val="auto"/>
          <w:sz w:val="24"/>
          <w:szCs w:val="28"/>
          <w:highlight w:val="none"/>
        </w:rPr>
      </w:pPr>
    </w:p>
    <w:p w14:paraId="5C2B0AA3">
      <w:pPr>
        <w:snapToGrid w:val="0"/>
        <w:spacing w:line="360" w:lineRule="auto"/>
        <w:rPr>
          <w:rFonts w:ascii="宋体" w:hAnsi="宋体"/>
          <w:b/>
          <w:color w:val="auto"/>
          <w:sz w:val="24"/>
          <w:szCs w:val="28"/>
          <w:highlight w:val="none"/>
        </w:rPr>
      </w:pPr>
    </w:p>
    <w:p w14:paraId="6B46E9B8">
      <w:pPr>
        <w:rPr>
          <w:color w:val="auto"/>
          <w:highlight w:val="none"/>
        </w:rPr>
      </w:pPr>
    </w:p>
    <w:p w14:paraId="15E5663A">
      <w:pPr>
        <w:rPr>
          <w:color w:val="auto"/>
          <w:highlight w:val="none"/>
        </w:rPr>
      </w:pPr>
    </w:p>
    <w:p w14:paraId="66643C3E">
      <w:pPr>
        <w:rPr>
          <w:color w:val="auto"/>
          <w:highlight w:val="none"/>
        </w:rPr>
      </w:pPr>
    </w:p>
    <w:p w14:paraId="3BFBFF6E">
      <w:pPr>
        <w:rPr>
          <w:color w:val="auto"/>
          <w:highlight w:val="none"/>
        </w:rPr>
      </w:pPr>
    </w:p>
    <w:p w14:paraId="60AF3937">
      <w:pPr>
        <w:rPr>
          <w:color w:val="auto"/>
          <w:highlight w:val="none"/>
        </w:rPr>
      </w:pPr>
    </w:p>
    <w:p w14:paraId="3933410C">
      <w:pPr>
        <w:rPr>
          <w:color w:val="auto"/>
          <w:highlight w:val="none"/>
        </w:rPr>
      </w:pPr>
    </w:p>
    <w:p w14:paraId="12F1DC70">
      <w:pPr>
        <w:rPr>
          <w:color w:val="auto"/>
          <w:highlight w:val="none"/>
        </w:rPr>
      </w:pPr>
    </w:p>
    <w:p w14:paraId="54E98B64">
      <w:pPr>
        <w:rPr>
          <w:color w:val="auto"/>
          <w:highlight w:val="none"/>
        </w:rPr>
      </w:pPr>
    </w:p>
    <w:p w14:paraId="79151593">
      <w:pPr>
        <w:rPr>
          <w:color w:val="auto"/>
          <w:highlight w:val="none"/>
        </w:rPr>
        <w:sectPr>
          <w:pgSz w:w="11906" w:h="16838"/>
          <w:pgMar w:top="1440" w:right="1800" w:bottom="1440" w:left="1800" w:header="851" w:footer="992" w:gutter="0"/>
          <w:pgNumType w:fmt="decimal"/>
          <w:cols w:space="425" w:num="1"/>
          <w:docGrid w:type="lines" w:linePitch="312" w:charSpace="0"/>
        </w:sectPr>
      </w:pPr>
    </w:p>
    <w:p w14:paraId="2D9FFFFF">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14:paraId="74F81152">
      <w:pPr>
        <w:pStyle w:val="15"/>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6ECFFA74">
      <w:pPr>
        <w:adjustRightInd w:val="0"/>
        <w:snapToGrid w:val="0"/>
        <w:spacing w:line="360" w:lineRule="auto"/>
        <w:ind w:firstLine="516" w:firstLineChars="215"/>
        <w:rPr>
          <w:rFonts w:ascii="宋体" w:hAnsi="宋体" w:cs="宋体"/>
          <w:color w:val="auto"/>
          <w:sz w:val="24"/>
          <w:szCs w:val="24"/>
          <w:highlight w:val="none"/>
        </w:rPr>
      </w:pPr>
    </w:p>
    <w:p w14:paraId="0FFE9B4D">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14:paraId="7144E6C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14:paraId="1DED77AC">
      <w:pPr>
        <w:adjustRightInd w:val="0"/>
        <w:snapToGrid w:val="0"/>
        <w:spacing w:line="360" w:lineRule="auto"/>
        <w:rPr>
          <w:rFonts w:ascii="宋体" w:hAnsi="宋体" w:cs="宋体"/>
          <w:color w:val="auto"/>
          <w:sz w:val="24"/>
          <w:szCs w:val="24"/>
          <w:highlight w:val="none"/>
        </w:rPr>
      </w:pPr>
    </w:p>
    <w:p w14:paraId="61A33E7F">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7077A150">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506C6C13">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4DB1F746">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97BDF2E">
      <w:pPr>
        <w:spacing w:line="400" w:lineRule="exact"/>
        <w:rPr>
          <w:rFonts w:ascii="宋体" w:hAnsi="宋体" w:cs="宋体"/>
          <w:color w:val="auto"/>
          <w:szCs w:val="21"/>
          <w:highlight w:val="none"/>
        </w:rPr>
      </w:pPr>
    </w:p>
    <w:p w14:paraId="0999F21E">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749B2CFE">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6B820FFC">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71CEE915">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75754692">
      <w:pPr>
        <w:spacing w:line="400" w:lineRule="exact"/>
        <w:rPr>
          <w:rFonts w:ascii="宋体" w:hAnsi="宋体" w:cs="宋体"/>
          <w:color w:val="auto"/>
          <w:szCs w:val="21"/>
          <w:highlight w:val="none"/>
        </w:rPr>
      </w:pPr>
    </w:p>
    <w:p w14:paraId="415C19F3">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02B4713B">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1E07C411">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43190A4C">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309261BF">
      <w:pPr>
        <w:spacing w:line="400" w:lineRule="exact"/>
        <w:rPr>
          <w:rFonts w:ascii="宋体" w:hAnsi="宋体" w:cs="宋体"/>
          <w:color w:val="auto"/>
          <w:szCs w:val="21"/>
          <w:highlight w:val="none"/>
        </w:rPr>
      </w:pPr>
      <w:r>
        <w:rPr>
          <w:rFonts w:hint="eastAsia" w:ascii="宋体" w:hAnsi="宋体" w:cs="宋体"/>
          <w:color w:val="auto"/>
          <w:szCs w:val="21"/>
          <w:highlight w:val="none"/>
          <w:lang w:eastAsia="zh-CN"/>
        </w:rPr>
        <w:t>账</w:t>
      </w:r>
      <w:r>
        <w:rPr>
          <w:rFonts w:hint="eastAsia" w:ascii="宋体" w:hAnsi="宋体" w:cs="宋体"/>
          <w:color w:val="auto"/>
          <w:szCs w:val="21"/>
          <w:highlight w:val="none"/>
        </w:rPr>
        <w:t>号：</w:t>
      </w:r>
    </w:p>
    <w:p w14:paraId="44AB0867">
      <w:pPr>
        <w:spacing w:line="400" w:lineRule="exact"/>
        <w:rPr>
          <w:rFonts w:ascii="宋体" w:hAnsi="宋体"/>
          <w:color w:val="auto"/>
          <w:szCs w:val="21"/>
          <w:highlight w:val="none"/>
        </w:rPr>
      </w:pPr>
    </w:p>
    <w:p w14:paraId="27420428">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5F4FA08B">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10829D7A">
      <w:pPr>
        <w:spacing w:line="360" w:lineRule="auto"/>
        <w:rPr>
          <w:rFonts w:ascii="宋体" w:hAnsi="宋体" w:cs="宋体"/>
          <w:color w:val="auto"/>
          <w:sz w:val="24"/>
          <w:szCs w:val="24"/>
          <w:highlight w:val="none"/>
        </w:rPr>
      </w:pPr>
    </w:p>
    <w:p w14:paraId="23BBA406">
      <w:pPr>
        <w:spacing w:line="360" w:lineRule="auto"/>
        <w:rPr>
          <w:rFonts w:ascii="宋体" w:hAnsi="宋体" w:cs="宋体"/>
          <w:color w:val="auto"/>
          <w:szCs w:val="21"/>
          <w:highlight w:val="none"/>
        </w:rPr>
      </w:pPr>
    </w:p>
    <w:p w14:paraId="677E144C">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14:paraId="7F91E65C">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14:paraId="75716DAF">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14:paraId="55AFB2A0">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4D1C332B">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14:paraId="583D10E8">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32A57A5A">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w:t>
      </w:r>
      <w:r>
        <w:rPr>
          <w:rFonts w:hint="eastAsia" w:ascii="宋体" w:hAnsi="宋体" w:cs="宋体"/>
          <w:b/>
          <w:color w:val="auto"/>
          <w:kern w:val="0"/>
          <w:szCs w:val="21"/>
          <w:highlight w:val="none"/>
          <w:lang w:val="en-US" w:eastAsia="zh-CN"/>
        </w:rPr>
        <w:t xml:space="preserve">             </w:t>
      </w:r>
      <w:r>
        <w:rPr>
          <w:rFonts w:hint="eastAsia" w:ascii="宋体" w:hAnsi="宋体" w:cs="宋体"/>
          <w:b/>
          <w:color w:val="auto"/>
          <w:kern w:val="0"/>
          <w:szCs w:val="21"/>
          <w:highlight w:val="none"/>
        </w:rPr>
        <w:t xml:space="preserve"> 单位：人民币</w:t>
      </w:r>
    </w:p>
    <w:tbl>
      <w:tblPr>
        <w:tblStyle w:val="1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23F6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4167954E">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14:paraId="710735C1">
            <w:pPr>
              <w:widowControl/>
              <w:jc w:val="center"/>
              <w:rPr>
                <w:rFonts w:ascii="宋体" w:hAnsi="宋体"/>
                <w:color w:val="auto"/>
                <w:szCs w:val="21"/>
                <w:highlight w:val="none"/>
              </w:rPr>
            </w:pPr>
          </w:p>
        </w:tc>
      </w:tr>
      <w:tr w14:paraId="2256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9B48FDC">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14:paraId="0609C676">
            <w:pPr>
              <w:widowControl/>
              <w:jc w:val="center"/>
              <w:rPr>
                <w:rFonts w:ascii="宋体" w:hAnsi="宋体"/>
                <w:color w:val="auto"/>
                <w:szCs w:val="21"/>
                <w:highlight w:val="none"/>
              </w:rPr>
            </w:pPr>
          </w:p>
        </w:tc>
      </w:tr>
      <w:tr w14:paraId="43D6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650E126E">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662" w:type="dxa"/>
            <w:vAlign w:val="center"/>
          </w:tcPr>
          <w:p w14:paraId="445D5FBF">
            <w:pPr>
              <w:widowControl/>
              <w:jc w:val="center"/>
              <w:rPr>
                <w:rFonts w:ascii="宋体" w:hAnsi="宋体"/>
                <w:color w:val="auto"/>
                <w:szCs w:val="21"/>
                <w:highlight w:val="none"/>
              </w:rPr>
            </w:pPr>
          </w:p>
        </w:tc>
      </w:tr>
      <w:tr w14:paraId="0F72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20F21D77">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14:paraId="7CE9E5A2">
            <w:pPr>
              <w:widowControl/>
              <w:jc w:val="center"/>
              <w:rPr>
                <w:rFonts w:ascii="宋体" w:hAnsi="宋体"/>
                <w:color w:val="auto"/>
                <w:szCs w:val="21"/>
                <w:highlight w:val="none"/>
              </w:rPr>
            </w:pPr>
          </w:p>
        </w:tc>
      </w:tr>
    </w:tbl>
    <w:p w14:paraId="44C494A7">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604EF0A5">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516951B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63A8DF59">
      <w:pPr>
        <w:rPr>
          <w:rFonts w:ascii="宋体" w:hAnsi="宋体" w:cs="宋体"/>
          <w:color w:val="auto"/>
          <w:sz w:val="24"/>
          <w:highlight w:val="none"/>
        </w:rPr>
      </w:pPr>
    </w:p>
    <w:p w14:paraId="4BC0383F">
      <w:pPr>
        <w:outlineLvl w:val="1"/>
        <w:rPr>
          <w:rFonts w:ascii="宋体" w:hAnsi="宋体" w:cs="宋体"/>
          <w:b/>
          <w:color w:val="auto"/>
          <w:sz w:val="28"/>
          <w:szCs w:val="28"/>
          <w:highlight w:val="none"/>
        </w:rPr>
      </w:pPr>
    </w:p>
    <w:p w14:paraId="2BDC4FED">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14:paraId="5CA3C1E6">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14:paraId="2A772A86">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14:paraId="59411BAE">
      <w:pPr>
        <w:snapToGrid w:val="0"/>
        <w:spacing w:line="360" w:lineRule="auto"/>
        <w:rPr>
          <w:rFonts w:hint="eastAsia" w:ascii="宋体" w:hAnsi="宋体" w:cs="Arial"/>
          <w:color w:val="auto"/>
          <w:kern w:val="0"/>
          <w:szCs w:val="21"/>
          <w:highlight w:val="none"/>
        </w:rPr>
      </w:pPr>
    </w:p>
    <w:p w14:paraId="209C5391">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14:paraId="6F018F65">
      <w:pPr>
        <w:spacing w:line="360" w:lineRule="exact"/>
        <w:rPr>
          <w:rFonts w:hint="eastAsia" w:ascii="宋体" w:hAnsi="宋体" w:cs="宋体"/>
          <w:color w:val="auto"/>
          <w:szCs w:val="21"/>
          <w:highlight w:val="none"/>
        </w:rPr>
      </w:pPr>
    </w:p>
    <w:p w14:paraId="51D8D394">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437E9446">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31CD4FA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254D3925">
      <w:pPr>
        <w:rPr>
          <w:rFonts w:ascii="宋体" w:hAnsi="宋体" w:cs="宋体"/>
          <w:color w:val="auto"/>
          <w:sz w:val="24"/>
          <w:highlight w:val="none"/>
        </w:rPr>
      </w:pPr>
    </w:p>
    <w:p w14:paraId="098BAC35">
      <w:pPr>
        <w:spacing w:line="280" w:lineRule="exact"/>
        <w:ind w:right="420"/>
        <w:rPr>
          <w:rFonts w:ascii="宋体" w:hAnsi="宋体" w:cs="宋体"/>
          <w:color w:val="auto"/>
          <w:szCs w:val="21"/>
          <w:highlight w:val="none"/>
        </w:rPr>
      </w:pPr>
    </w:p>
    <w:p w14:paraId="5224677C">
      <w:pPr>
        <w:outlineLvl w:val="1"/>
        <w:rPr>
          <w:rFonts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31391A51">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14:paraId="6F6DABDB">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0AA491D1">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14:paraId="516A5342">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14:paraId="286E39E4">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12D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548F77B1">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20EE6021">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47167132">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39B289A6">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4C57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D44895C">
            <w:pPr>
              <w:rPr>
                <w:rFonts w:ascii="宋体" w:hAnsi="宋体" w:cs="宋体"/>
                <w:color w:val="auto"/>
                <w:szCs w:val="21"/>
                <w:highlight w:val="none"/>
              </w:rPr>
            </w:pPr>
          </w:p>
        </w:tc>
        <w:tc>
          <w:tcPr>
            <w:tcW w:w="2132" w:type="dxa"/>
          </w:tcPr>
          <w:p w14:paraId="6A7DDA98">
            <w:pPr>
              <w:rPr>
                <w:rFonts w:ascii="宋体" w:hAnsi="宋体" w:cs="宋体"/>
                <w:color w:val="auto"/>
                <w:szCs w:val="21"/>
                <w:highlight w:val="none"/>
              </w:rPr>
            </w:pPr>
          </w:p>
        </w:tc>
        <w:tc>
          <w:tcPr>
            <w:tcW w:w="3044" w:type="dxa"/>
          </w:tcPr>
          <w:p w14:paraId="3A80A56C">
            <w:pPr>
              <w:rPr>
                <w:rFonts w:ascii="宋体" w:hAnsi="宋体" w:cs="宋体"/>
                <w:color w:val="auto"/>
                <w:szCs w:val="21"/>
                <w:highlight w:val="none"/>
              </w:rPr>
            </w:pPr>
          </w:p>
        </w:tc>
        <w:tc>
          <w:tcPr>
            <w:tcW w:w="1440" w:type="dxa"/>
          </w:tcPr>
          <w:p w14:paraId="4EE6ECB2">
            <w:pPr>
              <w:rPr>
                <w:rFonts w:ascii="宋体" w:hAnsi="宋体" w:cs="宋体"/>
                <w:color w:val="auto"/>
                <w:szCs w:val="21"/>
                <w:highlight w:val="none"/>
              </w:rPr>
            </w:pPr>
          </w:p>
        </w:tc>
      </w:tr>
      <w:tr w14:paraId="2C1C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90A5697">
            <w:pPr>
              <w:rPr>
                <w:rFonts w:ascii="宋体" w:hAnsi="宋体" w:cs="宋体"/>
                <w:color w:val="auto"/>
                <w:szCs w:val="21"/>
                <w:highlight w:val="none"/>
              </w:rPr>
            </w:pPr>
          </w:p>
        </w:tc>
        <w:tc>
          <w:tcPr>
            <w:tcW w:w="2132" w:type="dxa"/>
          </w:tcPr>
          <w:p w14:paraId="04E9A091">
            <w:pPr>
              <w:rPr>
                <w:rFonts w:ascii="宋体" w:hAnsi="宋体" w:cs="宋体"/>
                <w:color w:val="auto"/>
                <w:szCs w:val="21"/>
                <w:highlight w:val="none"/>
              </w:rPr>
            </w:pPr>
          </w:p>
        </w:tc>
        <w:tc>
          <w:tcPr>
            <w:tcW w:w="3044" w:type="dxa"/>
          </w:tcPr>
          <w:p w14:paraId="22BC1359">
            <w:pPr>
              <w:rPr>
                <w:rFonts w:ascii="宋体" w:hAnsi="宋体" w:cs="宋体"/>
                <w:color w:val="auto"/>
                <w:szCs w:val="21"/>
                <w:highlight w:val="none"/>
              </w:rPr>
            </w:pPr>
          </w:p>
        </w:tc>
        <w:tc>
          <w:tcPr>
            <w:tcW w:w="1440" w:type="dxa"/>
          </w:tcPr>
          <w:p w14:paraId="240CE1D2">
            <w:pPr>
              <w:rPr>
                <w:rFonts w:ascii="宋体" w:hAnsi="宋体" w:cs="宋体"/>
                <w:color w:val="auto"/>
                <w:szCs w:val="21"/>
                <w:highlight w:val="none"/>
              </w:rPr>
            </w:pPr>
          </w:p>
        </w:tc>
      </w:tr>
      <w:tr w14:paraId="59F4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6F6E356">
            <w:pPr>
              <w:rPr>
                <w:rFonts w:ascii="宋体" w:hAnsi="宋体" w:cs="宋体"/>
                <w:color w:val="auto"/>
                <w:szCs w:val="21"/>
                <w:highlight w:val="none"/>
              </w:rPr>
            </w:pPr>
          </w:p>
        </w:tc>
        <w:tc>
          <w:tcPr>
            <w:tcW w:w="2132" w:type="dxa"/>
          </w:tcPr>
          <w:p w14:paraId="7B7C8F22">
            <w:pPr>
              <w:rPr>
                <w:rFonts w:ascii="宋体" w:hAnsi="宋体" w:cs="宋体"/>
                <w:color w:val="auto"/>
                <w:szCs w:val="21"/>
                <w:highlight w:val="none"/>
              </w:rPr>
            </w:pPr>
          </w:p>
        </w:tc>
        <w:tc>
          <w:tcPr>
            <w:tcW w:w="3044" w:type="dxa"/>
          </w:tcPr>
          <w:p w14:paraId="0E147AA1">
            <w:pPr>
              <w:rPr>
                <w:rFonts w:ascii="宋体" w:hAnsi="宋体" w:cs="宋体"/>
                <w:color w:val="auto"/>
                <w:szCs w:val="21"/>
                <w:highlight w:val="none"/>
              </w:rPr>
            </w:pPr>
          </w:p>
        </w:tc>
        <w:tc>
          <w:tcPr>
            <w:tcW w:w="1440" w:type="dxa"/>
          </w:tcPr>
          <w:p w14:paraId="5FEBF54B">
            <w:pPr>
              <w:rPr>
                <w:rFonts w:ascii="宋体" w:hAnsi="宋体" w:cs="宋体"/>
                <w:color w:val="auto"/>
                <w:szCs w:val="21"/>
                <w:highlight w:val="none"/>
              </w:rPr>
            </w:pPr>
          </w:p>
        </w:tc>
      </w:tr>
    </w:tbl>
    <w:p w14:paraId="2893CD59">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351EE0BF">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5164004">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C76A8FB">
      <w:pPr>
        <w:pStyle w:val="3"/>
        <w:overflowPunct w:val="0"/>
        <w:spacing w:line="500" w:lineRule="exact"/>
        <w:ind w:firstLine="0"/>
        <w:rPr>
          <w:rFonts w:hAnsi="宋体" w:cs="宋体"/>
          <w:b/>
          <w:color w:val="auto"/>
          <w:sz w:val="28"/>
          <w:szCs w:val="28"/>
          <w:highlight w:val="none"/>
        </w:rPr>
      </w:pPr>
    </w:p>
    <w:p w14:paraId="519891A1">
      <w:pPr>
        <w:pStyle w:val="3"/>
        <w:overflowPunct w:val="0"/>
        <w:spacing w:line="500" w:lineRule="exact"/>
        <w:ind w:firstLine="0"/>
        <w:rPr>
          <w:rFonts w:hAnsi="宋体" w:cs="宋体"/>
          <w:b/>
          <w:color w:val="auto"/>
          <w:sz w:val="28"/>
          <w:szCs w:val="28"/>
          <w:highlight w:val="none"/>
        </w:rPr>
      </w:pPr>
    </w:p>
    <w:p w14:paraId="45317BCF">
      <w:pPr>
        <w:pStyle w:val="3"/>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14:paraId="31719E87">
      <w:pPr>
        <w:pStyle w:val="2"/>
        <w:tabs>
          <w:tab w:val="left" w:pos="432"/>
        </w:tabs>
        <w:spacing w:line="480" w:lineRule="exact"/>
        <w:rPr>
          <w:rFonts w:ascii="宋体" w:hAnsi="宋体" w:eastAsia="宋体" w:cs="宋体"/>
          <w:b/>
          <w:bCs/>
          <w:color w:val="auto"/>
          <w:sz w:val="32"/>
          <w:szCs w:val="32"/>
          <w:highlight w:val="none"/>
        </w:rPr>
      </w:pPr>
    </w:p>
    <w:p w14:paraId="7F18F433">
      <w:pPr>
        <w:pStyle w:val="2"/>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14:paraId="29F8F0E8">
      <w:pPr>
        <w:spacing w:line="360" w:lineRule="auto"/>
        <w:rPr>
          <w:rFonts w:ascii="宋体" w:hAnsi="宋体" w:cs="宋体"/>
          <w:color w:val="auto"/>
          <w:sz w:val="24"/>
          <w:szCs w:val="24"/>
          <w:highlight w:val="none"/>
        </w:rPr>
      </w:pPr>
    </w:p>
    <w:p w14:paraId="146C927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2DA9F237">
      <w:pPr>
        <w:spacing w:line="360" w:lineRule="auto"/>
        <w:rPr>
          <w:rFonts w:ascii="宋体" w:hAnsi="宋体" w:cs="宋体"/>
          <w:color w:val="auto"/>
          <w:sz w:val="24"/>
          <w:szCs w:val="24"/>
          <w:highlight w:val="none"/>
        </w:rPr>
      </w:pPr>
    </w:p>
    <w:p w14:paraId="1FA0E93D">
      <w:pPr>
        <w:spacing w:line="360" w:lineRule="auto"/>
        <w:rPr>
          <w:rFonts w:ascii="宋体" w:hAnsi="宋体" w:cs="宋体"/>
          <w:color w:val="auto"/>
          <w:sz w:val="24"/>
          <w:szCs w:val="24"/>
          <w:highlight w:val="none"/>
        </w:rPr>
      </w:pPr>
    </w:p>
    <w:p w14:paraId="14EC0E2B">
      <w:pPr>
        <w:spacing w:line="360" w:lineRule="auto"/>
        <w:rPr>
          <w:rFonts w:ascii="宋体" w:hAnsi="宋体" w:cs="宋体"/>
          <w:color w:val="auto"/>
          <w:sz w:val="24"/>
          <w:szCs w:val="24"/>
          <w:highlight w:val="none"/>
        </w:rPr>
      </w:pPr>
    </w:p>
    <w:p w14:paraId="25360DDF">
      <w:pPr>
        <w:spacing w:line="360" w:lineRule="auto"/>
        <w:rPr>
          <w:rFonts w:ascii="宋体" w:hAnsi="宋体" w:cs="宋体"/>
          <w:color w:val="auto"/>
          <w:sz w:val="24"/>
          <w:szCs w:val="24"/>
          <w:highlight w:val="none"/>
        </w:rPr>
      </w:pPr>
    </w:p>
    <w:p w14:paraId="06794215">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1A733B4B">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16716C3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4FBC162">
      <w:pPr>
        <w:rPr>
          <w:rFonts w:ascii="宋体" w:hAnsi="宋体" w:cs="宋体"/>
          <w:color w:val="auto"/>
          <w:sz w:val="24"/>
          <w:szCs w:val="24"/>
          <w:highlight w:val="none"/>
        </w:rPr>
      </w:pPr>
    </w:p>
    <w:p w14:paraId="6BD4DD30">
      <w:pPr>
        <w:rPr>
          <w:rFonts w:ascii="宋体" w:hAnsi="宋体" w:cs="宋体"/>
          <w:color w:val="auto"/>
          <w:sz w:val="24"/>
          <w:szCs w:val="24"/>
          <w:highlight w:val="none"/>
        </w:rPr>
      </w:pPr>
    </w:p>
    <w:p w14:paraId="5AAB0A74">
      <w:pPr>
        <w:rPr>
          <w:rFonts w:ascii="宋体" w:hAnsi="宋体" w:cs="宋体"/>
          <w:color w:val="auto"/>
          <w:sz w:val="24"/>
          <w:szCs w:val="24"/>
          <w:highlight w:val="none"/>
        </w:rPr>
      </w:pPr>
    </w:p>
    <w:p w14:paraId="69149A87">
      <w:pPr>
        <w:jc w:val="center"/>
        <w:rPr>
          <w:rFonts w:ascii="宋体" w:hAnsi="宋体" w:cs="宋体"/>
          <w:b/>
          <w:color w:val="auto"/>
          <w:sz w:val="32"/>
          <w:szCs w:val="32"/>
          <w:highlight w:val="none"/>
        </w:rPr>
      </w:pPr>
    </w:p>
    <w:p w14:paraId="037DB41A">
      <w:pPr>
        <w:pStyle w:val="3"/>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2210A656">
      <w:pPr>
        <w:pStyle w:val="3"/>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14:paraId="7EE80A0D">
      <w:pPr>
        <w:spacing w:line="560" w:lineRule="exact"/>
        <w:ind w:firstLine="321" w:firstLineChars="100"/>
        <w:jc w:val="center"/>
        <w:rPr>
          <w:rFonts w:hint="eastAsia" w:ascii="黑体" w:hAnsi="黑体" w:eastAsia="黑体"/>
          <w:b/>
          <w:color w:val="auto"/>
          <w:sz w:val="32"/>
          <w:szCs w:val="32"/>
          <w:highlight w:val="none"/>
          <w:lang w:eastAsia="zh-CN"/>
        </w:rPr>
      </w:pPr>
    </w:p>
    <w:p w14:paraId="5BFFD0FB">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14:paraId="08A0BDF6">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采购活动，服务全部由符合政策要求的中小企业承接。企业的具体情况如下：</w:t>
      </w:r>
    </w:p>
    <w:p w14:paraId="622E49B7">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；承接企业为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14:paraId="6946C058">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14:paraId="49776AAD">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14:paraId="09EDA59F">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14:paraId="6B1C2D5D">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14:paraId="5C48642E">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14:paraId="09A5B089">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rPr>
        <w:t>投标</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14:paraId="06BED80E">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14:paraId="4422627B">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14:paraId="423E197C">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14:paraId="21A38F3C">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14:paraId="022A6860">
      <w:pPr>
        <w:spacing w:line="560" w:lineRule="exact"/>
        <w:ind w:firstLine="321" w:firstLineChars="100"/>
        <w:jc w:val="center"/>
        <w:rPr>
          <w:rFonts w:hint="eastAsia" w:ascii="黑体" w:hAnsi="黑体" w:eastAsia="黑体"/>
          <w:b/>
          <w:color w:val="auto"/>
          <w:sz w:val="32"/>
          <w:szCs w:val="32"/>
          <w:highlight w:val="none"/>
          <w:lang w:eastAsia="zh-CN"/>
        </w:rPr>
      </w:pPr>
    </w:p>
    <w:p w14:paraId="06338DBD">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14:paraId="78E79FA4">
      <w:pPr>
        <w:spacing w:line="360" w:lineRule="auto"/>
        <w:rPr>
          <w:rFonts w:hint="eastAsia" w:asciiTheme="minorEastAsia" w:hAnsiTheme="minorEastAsia" w:eastAsiaTheme="minorEastAsia" w:cstheme="minorEastAsia"/>
          <w:b/>
          <w:color w:val="auto"/>
          <w:spacing w:val="6"/>
          <w:sz w:val="21"/>
          <w:szCs w:val="21"/>
          <w:highlight w:val="none"/>
        </w:rPr>
      </w:pPr>
    </w:p>
    <w:p w14:paraId="41E79EAC">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项目采购活动由本单位提供服务。</w:t>
      </w:r>
    </w:p>
    <w:p w14:paraId="035ADC9F">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14:paraId="48349EB9">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14:paraId="370AD301">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14:paraId="3EFEBB9E">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14:paraId="4D0AD822">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14:paraId="010CC5BB">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14:paraId="0EA894FB">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14:paraId="698258F8">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14:paraId="44260599">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14:paraId="0C352369">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14:paraId="1F569213">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14:paraId="6174B528">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14:paraId="626357C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w:t>
      </w:r>
      <w:r>
        <w:rPr>
          <w:rFonts w:hint="eastAsia" w:ascii="宋体" w:hAnsi="宋体" w:cs="宋体"/>
          <w:b/>
          <w:color w:val="auto"/>
          <w:sz w:val="24"/>
          <w:szCs w:val="24"/>
          <w:highlight w:val="none"/>
          <w:lang w:eastAsia="zh-CN"/>
        </w:rPr>
        <w:t>账</w:t>
      </w:r>
      <w:r>
        <w:rPr>
          <w:rFonts w:hint="eastAsia" w:ascii="宋体" w:hAnsi="宋体" w:cs="宋体"/>
          <w:b/>
          <w:color w:val="auto"/>
          <w:sz w:val="24"/>
          <w:szCs w:val="24"/>
          <w:highlight w:val="none"/>
        </w:rPr>
        <w:t>户</w:t>
      </w:r>
      <w:r>
        <w:rPr>
          <w:rFonts w:hint="eastAsia" w:ascii="宋体" w:hAnsi="宋体" w:cs="宋体"/>
          <w:color w:val="auto"/>
          <w:sz w:val="24"/>
          <w:szCs w:val="24"/>
          <w:highlight w:val="none"/>
        </w:rPr>
        <w:t>并到</w:t>
      </w:r>
      <w:r>
        <w:rPr>
          <w:rFonts w:hint="eastAsia" w:ascii="宋体" w:hAnsi="宋体" w:cs="宋体"/>
          <w:color w:val="auto"/>
          <w:sz w:val="24"/>
          <w:szCs w:val="24"/>
          <w:highlight w:val="none"/>
          <w:lang w:eastAsia="zh-CN"/>
        </w:rPr>
        <w:t>账</w:t>
      </w:r>
      <w:r>
        <w:rPr>
          <w:rFonts w:hint="eastAsia" w:ascii="宋体" w:hAnsi="宋体" w:cs="宋体"/>
          <w:color w:val="auto"/>
          <w:sz w:val="24"/>
          <w:szCs w:val="24"/>
          <w:highlight w:val="none"/>
        </w:rPr>
        <w:t>，拒绝以其它方式缴纳，禁止第三方代缴保证金。</w:t>
      </w:r>
    </w:p>
    <w:p w14:paraId="21E623E3">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w:t>
      </w:r>
      <w:r>
        <w:rPr>
          <w:rFonts w:hint="eastAsia" w:ascii="宋体" w:hAnsi="宋体" w:cs="宋体"/>
          <w:b/>
          <w:color w:val="auto"/>
          <w:sz w:val="24"/>
          <w:szCs w:val="24"/>
          <w:highlight w:val="none"/>
          <w:lang w:val="en-US" w:eastAsia="zh-CN"/>
        </w:rPr>
        <w:t>U</w:t>
      </w:r>
      <w:r>
        <w:rPr>
          <w:rFonts w:hint="eastAsia" w:ascii="宋体" w:hAnsi="宋体" w:cs="宋体"/>
          <w:b/>
          <w:color w:val="auto"/>
          <w:sz w:val="24"/>
          <w:szCs w:val="24"/>
          <w:highlight w:val="none"/>
        </w:rPr>
        <w:t>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14:paraId="284ABEDA">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w:t>
      </w:r>
    </w:p>
    <w:p w14:paraId="713A2461">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14:paraId="3ECD0F9C">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14:paraId="2F8F7852">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14:paraId="25B4949C">
      <w:pPr>
        <w:spacing w:line="480" w:lineRule="exact"/>
        <w:ind w:firstLine="480" w:firstLineChars="200"/>
        <w:rPr>
          <w:rFonts w:hint="eastAsia" w:ascii="宋体" w:hAnsi="宋体" w:cs="宋体"/>
          <w:color w:val="auto"/>
          <w:sz w:val="24"/>
          <w:szCs w:val="24"/>
          <w:highlight w:val="none"/>
        </w:rPr>
      </w:pPr>
    </w:p>
    <w:p w14:paraId="7A7006AA">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14:paraId="14E9AE4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14:paraId="12A5D6D5">
      <w:pPr>
        <w:rPr>
          <w:rFonts w:ascii="宋体" w:hAnsi="宋体" w:cs="宋体"/>
          <w:color w:val="auto"/>
          <w:sz w:val="24"/>
          <w:szCs w:val="24"/>
          <w:highlight w:val="none"/>
        </w:rPr>
      </w:pPr>
    </w:p>
    <w:p w14:paraId="1D23ECB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14:paraId="1CD022E4">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bookmarkEnd w:id="42"/>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506F7">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69074">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169074">
                    <w:pPr>
                      <w:pStyle w:val="7"/>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554DC">
    <w:pPr>
      <w:pStyle w:val="7"/>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D345">
    <w:pPr>
      <w:pStyle w:val="7"/>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3C0D2">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E73C0D2">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1338E">
    <w:pPr>
      <w:pStyle w:val="7"/>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3023F">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A3023F">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889E7">
    <w:pPr>
      <w:pStyle w:val="7"/>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B9ADD">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DB9ADD">
                    <w:pPr>
                      <w:pStyle w:val="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DC42">
    <w:pPr>
      <w:pStyle w:val="8"/>
    </w:pPr>
  </w:p>
  <w:p w14:paraId="7BF203A5">
    <w:pPr>
      <w:pStyle w:val="8"/>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C1BAE">
    <w:pPr>
      <w:pStyle w:val="8"/>
    </w:pPr>
  </w:p>
  <w:p w14:paraId="72043378">
    <w:pPr>
      <w:pStyle w:val="8"/>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MmFhMDA3ZTkyMWVkZDI1Mzg5Y2U4ZGMzM2IxNjkifQ=="/>
  </w:docVars>
  <w:rsids>
    <w:rsidRoot w:val="41894BD4"/>
    <w:rsid w:val="030634BD"/>
    <w:rsid w:val="044841D6"/>
    <w:rsid w:val="04573D11"/>
    <w:rsid w:val="060A55BB"/>
    <w:rsid w:val="062C2C76"/>
    <w:rsid w:val="070C42A8"/>
    <w:rsid w:val="07921036"/>
    <w:rsid w:val="08073296"/>
    <w:rsid w:val="08442A7A"/>
    <w:rsid w:val="08840BA4"/>
    <w:rsid w:val="089F029F"/>
    <w:rsid w:val="0917644A"/>
    <w:rsid w:val="09190442"/>
    <w:rsid w:val="098C0586"/>
    <w:rsid w:val="0DEA5B25"/>
    <w:rsid w:val="0E1C4D05"/>
    <w:rsid w:val="0F087ACB"/>
    <w:rsid w:val="0F856435"/>
    <w:rsid w:val="10710382"/>
    <w:rsid w:val="11B933BC"/>
    <w:rsid w:val="12661633"/>
    <w:rsid w:val="12D00772"/>
    <w:rsid w:val="13DD0205"/>
    <w:rsid w:val="157C54AE"/>
    <w:rsid w:val="15AA4FDA"/>
    <w:rsid w:val="164A485F"/>
    <w:rsid w:val="17184B22"/>
    <w:rsid w:val="173F55C8"/>
    <w:rsid w:val="17AF5A04"/>
    <w:rsid w:val="189063F1"/>
    <w:rsid w:val="199F3089"/>
    <w:rsid w:val="19DF25B4"/>
    <w:rsid w:val="19FF0227"/>
    <w:rsid w:val="1DE404DB"/>
    <w:rsid w:val="1F7756AA"/>
    <w:rsid w:val="1F7C34DD"/>
    <w:rsid w:val="1FEB1FD2"/>
    <w:rsid w:val="21FC49C9"/>
    <w:rsid w:val="2218501A"/>
    <w:rsid w:val="22D80E71"/>
    <w:rsid w:val="24C02A8C"/>
    <w:rsid w:val="270E5DF2"/>
    <w:rsid w:val="27871648"/>
    <w:rsid w:val="28242D82"/>
    <w:rsid w:val="29103C49"/>
    <w:rsid w:val="29472F77"/>
    <w:rsid w:val="2AD24E99"/>
    <w:rsid w:val="2DB82ADA"/>
    <w:rsid w:val="2F715851"/>
    <w:rsid w:val="30986064"/>
    <w:rsid w:val="313A6116"/>
    <w:rsid w:val="326D555E"/>
    <w:rsid w:val="33A17275"/>
    <w:rsid w:val="33E939CE"/>
    <w:rsid w:val="362C24D2"/>
    <w:rsid w:val="36BD1572"/>
    <w:rsid w:val="375436D0"/>
    <w:rsid w:val="377626E2"/>
    <w:rsid w:val="37AD4689"/>
    <w:rsid w:val="3A0B5E8B"/>
    <w:rsid w:val="3A987192"/>
    <w:rsid w:val="3CBA3ABE"/>
    <w:rsid w:val="3D6011C1"/>
    <w:rsid w:val="3D60217E"/>
    <w:rsid w:val="3D602878"/>
    <w:rsid w:val="3E336DCA"/>
    <w:rsid w:val="3F5F26D4"/>
    <w:rsid w:val="3FE62C2A"/>
    <w:rsid w:val="40A82892"/>
    <w:rsid w:val="40CA166C"/>
    <w:rsid w:val="40E6422E"/>
    <w:rsid w:val="413F7265"/>
    <w:rsid w:val="41894BD4"/>
    <w:rsid w:val="427B0900"/>
    <w:rsid w:val="43887E77"/>
    <w:rsid w:val="44F557CA"/>
    <w:rsid w:val="45CC2FFC"/>
    <w:rsid w:val="465A12B8"/>
    <w:rsid w:val="47055A52"/>
    <w:rsid w:val="47587EC6"/>
    <w:rsid w:val="484473F7"/>
    <w:rsid w:val="48527202"/>
    <w:rsid w:val="48C875BA"/>
    <w:rsid w:val="495B7054"/>
    <w:rsid w:val="4BBA2570"/>
    <w:rsid w:val="4CFE61A4"/>
    <w:rsid w:val="4D043CAC"/>
    <w:rsid w:val="4DD21CD8"/>
    <w:rsid w:val="4DF950DF"/>
    <w:rsid w:val="521F5D66"/>
    <w:rsid w:val="5301154F"/>
    <w:rsid w:val="54AC2921"/>
    <w:rsid w:val="55AB06CF"/>
    <w:rsid w:val="562C33EA"/>
    <w:rsid w:val="571238AB"/>
    <w:rsid w:val="58132365"/>
    <w:rsid w:val="586236D9"/>
    <w:rsid w:val="59224A97"/>
    <w:rsid w:val="59AA17DC"/>
    <w:rsid w:val="5A504AD9"/>
    <w:rsid w:val="5F4F2FEA"/>
    <w:rsid w:val="62746851"/>
    <w:rsid w:val="63237935"/>
    <w:rsid w:val="651833B8"/>
    <w:rsid w:val="65871EF3"/>
    <w:rsid w:val="6599757D"/>
    <w:rsid w:val="67217A1D"/>
    <w:rsid w:val="680C2CF8"/>
    <w:rsid w:val="690C6515"/>
    <w:rsid w:val="69447104"/>
    <w:rsid w:val="697405CC"/>
    <w:rsid w:val="6AA1152B"/>
    <w:rsid w:val="6BD37D5E"/>
    <w:rsid w:val="6C262399"/>
    <w:rsid w:val="6D5A25EC"/>
    <w:rsid w:val="6EFA06B8"/>
    <w:rsid w:val="701C6B26"/>
    <w:rsid w:val="71546771"/>
    <w:rsid w:val="730B2E93"/>
    <w:rsid w:val="736C4651"/>
    <w:rsid w:val="73705467"/>
    <w:rsid w:val="741C3E8C"/>
    <w:rsid w:val="749A4D3B"/>
    <w:rsid w:val="75EF7629"/>
    <w:rsid w:val="79157A6A"/>
    <w:rsid w:val="7A084F9B"/>
    <w:rsid w:val="7B5F5634"/>
    <w:rsid w:val="7B8F4C4D"/>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pPr>
    <w:rPr>
      <w:rFonts w:ascii="宋体"/>
      <w:sz w:val="24"/>
    </w:rPr>
  </w:style>
  <w:style w:type="paragraph" w:styleId="4">
    <w:name w:val="Body Text"/>
    <w:basedOn w:val="1"/>
    <w:next w:val="1"/>
    <w:qFormat/>
    <w:uiPriority w:val="0"/>
    <w:pPr>
      <w:ind w:left="558"/>
    </w:pPr>
    <w:rPr>
      <w:szCs w:val="21"/>
    </w:rPr>
  </w:style>
  <w:style w:type="paragraph" w:styleId="5">
    <w:name w:val="Body Text Indent"/>
    <w:basedOn w:val="1"/>
    <w:qFormat/>
    <w:uiPriority w:val="0"/>
    <w:pPr>
      <w:ind w:firstLine="645"/>
    </w:pPr>
    <w:rPr>
      <w:rFonts w:ascii="楷体_GB2312" w:eastAsia="楷体_GB2312"/>
      <w:kern w:val="0"/>
      <w:sz w:val="32"/>
      <w:szCs w:val="20"/>
    </w:rPr>
  </w:style>
  <w:style w:type="paragraph" w:styleId="6">
    <w:name w:val="Plain Text"/>
    <w:basedOn w:val="1"/>
    <w:next w:val="3"/>
    <w:qFormat/>
    <w:uiPriority w:val="99"/>
    <w:rPr>
      <w:rFonts w:ascii="宋体" w:hAnsi="宋体" w:eastAsiaTheme="minorEastAsia" w:cstheme="minorBidi"/>
      <w:sz w:val="26"/>
      <w:szCs w:val="22"/>
    </w:rPr>
  </w:style>
  <w:style w:type="paragraph" w:styleId="7">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8">
    <w:name w:val="header"/>
    <w:basedOn w:val="1"/>
    <w:qFormat/>
    <w:uiPriority w:val="0"/>
    <w:pPr>
      <w:pBdr>
        <w:bottom w:val="single" w:color="auto" w:sz="6" w:space="1"/>
      </w:pBdr>
      <w:tabs>
        <w:tab w:val="center" w:pos="4153"/>
        <w:tab w:val="right" w:pos="8307"/>
      </w:tabs>
      <w:snapToGrid w:val="0"/>
      <w:jc w:val="center"/>
    </w:pPr>
    <w:rPr>
      <w:sz w:val="18"/>
    </w:rPr>
  </w:style>
  <w:style w:type="paragraph" w:styleId="9">
    <w:name w:val="toc 4"/>
    <w:basedOn w:val="1"/>
    <w:next w:val="1"/>
    <w:qFormat/>
    <w:uiPriority w:val="0"/>
    <w:pPr>
      <w:ind w:left="1260"/>
    </w:pPr>
  </w:style>
  <w:style w:type="character" w:customStyle="1" w:styleId="12">
    <w:name w:val="批注主题 Char"/>
    <w:qFormat/>
    <w:uiPriority w:val="99"/>
    <w:rPr>
      <w:rFonts w:eastAsia="宋体"/>
      <w:b/>
      <w:bCs/>
    </w:rPr>
  </w:style>
  <w:style w:type="paragraph" w:styleId="13">
    <w:name w:val="List Paragraph"/>
    <w:basedOn w:val="1"/>
    <w:qFormat/>
    <w:uiPriority w:val="34"/>
    <w:pPr>
      <w:ind w:firstLine="420" w:firstLineChars="200"/>
    </w:pPr>
    <w:rPr>
      <w:rFonts w:ascii="Calibri" w:hAnsi="Calibri"/>
      <w:szCs w:val="22"/>
    </w:rPr>
  </w:style>
  <w:style w:type="paragraph" w:customStyle="1" w:styleId="14">
    <w:name w:val="Í¼±íÕýÎÄ"/>
    <w:basedOn w:val="1"/>
    <w:next w:val="3"/>
    <w:qFormat/>
    <w:uiPriority w:val="0"/>
    <w:pPr>
      <w:ind w:firstLine="420" w:firstLineChars="200"/>
    </w:pPr>
    <w:rPr>
      <w:sz w:val="24"/>
    </w:rPr>
  </w:style>
  <w:style w:type="paragraph" w:customStyle="1" w:styleId="15">
    <w:name w:val="纯文本1"/>
    <w:next w:val="9"/>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6">
    <w:name w:val="纯文本2"/>
    <w:next w:val="9"/>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7">
    <w:name w:val="页码1"/>
    <w:basedOn w:val="11"/>
    <w:qFormat/>
    <w:uiPriority w:val="0"/>
  </w:style>
  <w:style w:type="character" w:customStyle="1" w:styleId="18">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10821</Words>
  <Characters>11647</Characters>
  <Lines>0</Lines>
  <Paragraphs>0</Paragraphs>
  <TotalTime>1</TotalTime>
  <ScaleCrop>false</ScaleCrop>
  <LinksUpToDate>false</LinksUpToDate>
  <CharactersWithSpaces>11794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XU</cp:lastModifiedBy>
  <dcterms:modified xsi:type="dcterms:W3CDTF">2026-05-18T07:17:52Z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BF3EF81762134CB695216B7C36052BCB</vt:lpwstr>
  </property>
  <property fmtid="{D5CDD505-2E9C-101B-9397-08002B2CF9AE}" pid="4" name="KSOTemplateDocerSaveRecord">
    <vt:lpwstr>eyJoZGlkIjoiZDI2OTIxZjNiZjQyM2RhZGE1NjdmY2MxYTljZDAzODciLCJ1c2VySWQiOiIxNDk3NzQ3NTk5In0=</vt:lpwstr>
  </property>
</Properties>
</file>